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华文中宋" w:hAnsi="华文中宋" w:eastAsia="华文中宋" w:cs="宋体"/>
          <w:b/>
          <w:color w:val="000000"/>
          <w:kern w:val="0"/>
          <w:sz w:val="52"/>
          <w:szCs w:val="52"/>
        </w:rPr>
      </w:pPr>
    </w:p>
    <w:p>
      <w:pPr>
        <w:spacing w:line="540" w:lineRule="exact"/>
        <w:jc w:val="center"/>
        <w:rPr>
          <w:rFonts w:ascii="华文中宋" w:hAnsi="华文中宋" w:eastAsia="华文中宋" w:cs="宋体"/>
          <w:b/>
          <w:color w:val="000000"/>
          <w:kern w:val="0"/>
          <w:sz w:val="52"/>
          <w:szCs w:val="52"/>
        </w:rPr>
      </w:pPr>
    </w:p>
    <w:p>
      <w:pPr>
        <w:spacing w:line="540" w:lineRule="exact"/>
        <w:jc w:val="center"/>
        <w:rPr>
          <w:rFonts w:ascii="华文中宋" w:hAnsi="华文中宋" w:eastAsia="华文中宋" w:cs="宋体"/>
          <w:b/>
          <w:color w:val="000000"/>
          <w:kern w:val="0"/>
          <w:sz w:val="52"/>
          <w:szCs w:val="52"/>
        </w:rPr>
      </w:pPr>
    </w:p>
    <w:p>
      <w:pPr>
        <w:spacing w:line="540" w:lineRule="exact"/>
        <w:jc w:val="center"/>
        <w:rPr>
          <w:rFonts w:ascii="华文中宋" w:hAnsi="华文中宋" w:eastAsia="华文中宋" w:cs="宋体"/>
          <w:b/>
          <w:color w:val="000000"/>
          <w:kern w:val="0"/>
          <w:sz w:val="52"/>
          <w:szCs w:val="52"/>
        </w:rPr>
      </w:pPr>
    </w:p>
    <w:p>
      <w:pPr>
        <w:spacing w:line="540" w:lineRule="exact"/>
        <w:jc w:val="center"/>
        <w:rPr>
          <w:rFonts w:ascii="华文中宋" w:hAnsi="华文中宋" w:eastAsia="华文中宋" w:cs="宋体"/>
          <w:b/>
          <w:color w:val="000000"/>
          <w:kern w:val="0"/>
          <w:sz w:val="52"/>
          <w:szCs w:val="52"/>
        </w:rPr>
      </w:pPr>
    </w:p>
    <w:p>
      <w:pPr>
        <w:spacing w:line="540" w:lineRule="exact"/>
        <w:jc w:val="center"/>
        <w:rPr>
          <w:rFonts w:ascii="华文中宋" w:hAnsi="华文中宋" w:eastAsia="华文中宋" w:cs="宋体"/>
          <w:b/>
          <w:color w:val="000000"/>
          <w:kern w:val="0"/>
          <w:sz w:val="52"/>
          <w:szCs w:val="52"/>
        </w:rPr>
      </w:pPr>
    </w:p>
    <w:p>
      <w:pPr>
        <w:spacing w:line="540" w:lineRule="exact"/>
        <w:jc w:val="center"/>
        <w:rPr>
          <w:rFonts w:ascii="华文中宋" w:hAnsi="华文中宋" w:eastAsia="华文中宋" w:cs="宋体"/>
          <w:b/>
          <w:color w:val="000000"/>
          <w:kern w:val="0"/>
          <w:sz w:val="52"/>
          <w:szCs w:val="52"/>
        </w:rPr>
      </w:pPr>
    </w:p>
    <w:p>
      <w:pPr>
        <w:spacing w:line="540" w:lineRule="exact"/>
        <w:jc w:val="center"/>
        <w:rPr>
          <w:rFonts w:ascii="方正小标宋_GBK" w:hAnsi="华文中宋" w:eastAsia="方正小标宋_GBK" w:cs="宋体"/>
          <w:b/>
          <w:color w:val="000000"/>
          <w:kern w:val="0"/>
          <w:sz w:val="48"/>
          <w:szCs w:val="48"/>
        </w:rPr>
      </w:pPr>
      <w:r>
        <w:rPr>
          <w:rFonts w:hint="eastAsia" w:ascii="方正小标宋_GBK" w:hAnsi="华文中宋" w:eastAsia="方正小标宋_GBK" w:cs="宋体"/>
          <w:b/>
          <w:color w:val="000000"/>
          <w:kern w:val="0"/>
          <w:sz w:val="48"/>
          <w:szCs w:val="48"/>
        </w:rPr>
        <w:t>自治区财政项目支出绩效自评报告</w:t>
      </w:r>
    </w:p>
    <w:p>
      <w:pPr>
        <w:spacing w:line="540" w:lineRule="exact"/>
        <w:jc w:val="center"/>
        <w:rPr>
          <w:rFonts w:ascii="华文中宋" w:hAnsi="华文中宋" w:eastAsia="华文中宋" w:cs="宋体"/>
          <w:b/>
          <w:color w:val="000000"/>
          <w:kern w:val="0"/>
          <w:sz w:val="52"/>
          <w:szCs w:val="52"/>
        </w:rPr>
      </w:pPr>
    </w:p>
    <w:p>
      <w:pPr>
        <w:spacing w:line="540" w:lineRule="exact"/>
        <w:jc w:val="center"/>
        <w:rPr>
          <w:rFonts w:hAnsi="宋体" w:eastAsia="仿宋_GB2312" w:cs="宋体"/>
          <w:color w:val="000000"/>
          <w:kern w:val="0"/>
          <w:sz w:val="36"/>
          <w:szCs w:val="36"/>
        </w:rPr>
      </w:pPr>
      <w:r>
        <w:rPr>
          <w:rFonts w:hint="eastAsia" w:hAnsi="宋体" w:eastAsia="仿宋_GB2312" w:cs="宋体"/>
          <w:color w:val="000000"/>
          <w:kern w:val="0"/>
          <w:sz w:val="36"/>
          <w:szCs w:val="36"/>
        </w:rPr>
        <w:t>（202</w:t>
      </w:r>
      <w:r>
        <w:rPr>
          <w:rFonts w:hint="eastAsia" w:hAnsi="宋体" w:eastAsia="仿宋_GB2312" w:cs="宋体"/>
          <w:color w:val="000000"/>
          <w:kern w:val="0"/>
          <w:sz w:val="36"/>
          <w:szCs w:val="36"/>
          <w:lang w:val="en-US" w:eastAsia="zh-CN"/>
        </w:rPr>
        <w:t>3</w:t>
      </w:r>
      <w:r>
        <w:rPr>
          <w:rFonts w:hint="eastAsia" w:hAnsi="宋体" w:eastAsia="仿宋_GB2312" w:cs="宋体"/>
          <w:color w:val="000000"/>
          <w:kern w:val="0"/>
          <w:sz w:val="36"/>
          <w:szCs w:val="36"/>
        </w:rPr>
        <w:t>年度）</w:t>
      </w:r>
    </w:p>
    <w:p>
      <w:pPr>
        <w:spacing w:line="540" w:lineRule="exact"/>
        <w:jc w:val="center"/>
        <w:rPr>
          <w:rFonts w:hAnsi="宋体" w:eastAsia="仿宋_GB2312" w:cs="宋体"/>
          <w:color w:val="000000"/>
          <w:kern w:val="0"/>
          <w:sz w:val="30"/>
          <w:szCs w:val="30"/>
        </w:rPr>
      </w:pPr>
    </w:p>
    <w:p>
      <w:pPr>
        <w:spacing w:line="540" w:lineRule="exact"/>
        <w:jc w:val="center"/>
        <w:rPr>
          <w:rFonts w:hAnsi="宋体" w:eastAsia="仿宋_GB2312" w:cs="宋体"/>
          <w:color w:val="000000"/>
          <w:kern w:val="0"/>
          <w:sz w:val="30"/>
          <w:szCs w:val="30"/>
        </w:rPr>
      </w:pPr>
    </w:p>
    <w:p>
      <w:pPr>
        <w:spacing w:line="540" w:lineRule="exact"/>
        <w:jc w:val="center"/>
        <w:rPr>
          <w:rFonts w:hAnsi="宋体" w:eastAsia="仿宋_GB2312" w:cs="宋体"/>
          <w:color w:val="000000"/>
          <w:kern w:val="0"/>
          <w:sz w:val="30"/>
          <w:szCs w:val="30"/>
        </w:rPr>
      </w:pPr>
    </w:p>
    <w:p>
      <w:pPr>
        <w:spacing w:line="540" w:lineRule="exact"/>
        <w:jc w:val="center"/>
        <w:rPr>
          <w:rFonts w:hAnsi="宋体" w:eastAsia="仿宋_GB2312" w:cs="宋体"/>
          <w:color w:val="000000"/>
          <w:kern w:val="0"/>
          <w:sz w:val="30"/>
          <w:szCs w:val="30"/>
        </w:rPr>
      </w:pPr>
    </w:p>
    <w:p>
      <w:pPr>
        <w:spacing w:line="540" w:lineRule="exact"/>
        <w:jc w:val="center"/>
        <w:rPr>
          <w:rFonts w:hAnsi="宋体" w:eastAsia="仿宋_GB2312" w:cs="宋体"/>
          <w:color w:val="000000"/>
          <w:kern w:val="0"/>
          <w:sz w:val="30"/>
          <w:szCs w:val="30"/>
        </w:rPr>
      </w:pPr>
    </w:p>
    <w:p>
      <w:pPr>
        <w:spacing w:line="540" w:lineRule="exact"/>
        <w:rPr>
          <w:rFonts w:hAnsi="宋体" w:eastAsia="仿宋_GB2312" w:cs="宋体"/>
          <w:color w:val="000000"/>
          <w:kern w:val="0"/>
          <w:sz w:val="30"/>
          <w:szCs w:val="30"/>
        </w:rPr>
      </w:pPr>
    </w:p>
    <w:p>
      <w:pPr>
        <w:spacing w:line="700" w:lineRule="exact"/>
        <w:jc w:val="left"/>
        <w:rPr>
          <w:rFonts w:hAnsi="宋体" w:eastAsia="仿宋_GB2312" w:cs="宋体"/>
          <w:color w:val="000000"/>
          <w:kern w:val="0"/>
          <w:sz w:val="36"/>
          <w:szCs w:val="36"/>
        </w:rPr>
      </w:pPr>
      <w:r>
        <w:rPr>
          <w:rFonts w:hint="eastAsia" w:hAnsi="宋体" w:eastAsia="仿宋_GB2312" w:cs="宋体"/>
          <w:color w:val="000000"/>
          <w:kern w:val="0"/>
          <w:sz w:val="36"/>
          <w:szCs w:val="36"/>
        </w:rPr>
        <w:t xml:space="preserve">     </w:t>
      </w:r>
    </w:p>
    <w:p>
      <w:pPr>
        <w:spacing w:line="700" w:lineRule="exact"/>
        <w:ind w:firstLine="800" w:firstLineChars="250"/>
        <w:jc w:val="left"/>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color w:val="000000"/>
          <w:kern w:val="0"/>
          <w:sz w:val="32"/>
          <w:szCs w:val="32"/>
        </w:rPr>
        <w:t>项目名称：</w:t>
      </w:r>
      <w:r>
        <w:rPr>
          <w:rStyle w:val="19"/>
          <w:rFonts w:hint="eastAsia" w:ascii="仿宋_GB2312" w:hAnsi="仿宋_GB2312" w:eastAsia="仿宋_GB2312" w:cs="仿宋_GB2312"/>
          <w:b w:val="0"/>
          <w:bCs w:val="0"/>
          <w:color w:val="000000"/>
          <w:spacing w:val="-4"/>
          <w:sz w:val="32"/>
          <w:szCs w:val="32"/>
        </w:rPr>
        <w:t>贸促会各项业务费</w:t>
      </w:r>
    </w:p>
    <w:p>
      <w:pPr>
        <w:spacing w:line="540" w:lineRule="exact"/>
        <w:ind w:firstLine="567"/>
        <w:rPr>
          <w:rFonts w:hint="eastAsia" w:ascii="仿宋_GB2312" w:hAnsi="仿宋_GB2312" w:eastAsia="仿宋_GB2312" w:cs="仿宋_GB2312"/>
          <w:b w:val="0"/>
          <w:bCs w:val="0"/>
          <w:color w:val="000000"/>
          <w:spacing w:val="-4"/>
          <w:sz w:val="32"/>
          <w:szCs w:val="32"/>
        </w:rPr>
      </w:pPr>
      <w:r>
        <w:rPr>
          <w:rFonts w:hint="eastAsia" w:ascii="仿宋_GB2312" w:hAnsi="仿宋_GB2312" w:eastAsia="仿宋_GB2312" w:cs="仿宋_GB2312"/>
          <w:b w:val="0"/>
          <w:bCs w:val="0"/>
          <w:color w:val="000000"/>
          <w:kern w:val="0"/>
          <w:sz w:val="32"/>
          <w:szCs w:val="32"/>
        </w:rPr>
        <w:t xml:space="preserve">  实施单位（公章）：</w:t>
      </w:r>
      <w:r>
        <w:rPr>
          <w:rStyle w:val="19"/>
          <w:rFonts w:hint="eastAsia" w:ascii="仿宋_GB2312" w:hAnsi="仿宋_GB2312" w:eastAsia="仿宋_GB2312" w:cs="仿宋_GB2312"/>
          <w:b w:val="0"/>
          <w:bCs w:val="0"/>
          <w:color w:val="000000"/>
          <w:spacing w:val="-4"/>
          <w:sz w:val="32"/>
          <w:szCs w:val="32"/>
        </w:rPr>
        <w:t>中国国际贸易促进委员会新疆维吾尔自治区委员会</w:t>
      </w:r>
    </w:p>
    <w:p>
      <w:pPr>
        <w:spacing w:line="540" w:lineRule="exact"/>
        <w:ind w:firstLine="819" w:firstLineChars="256"/>
        <w:rPr>
          <w:rFonts w:hint="eastAsia" w:ascii="仿宋_GB2312" w:hAnsi="仿宋_GB2312" w:eastAsia="仿宋_GB2312" w:cs="仿宋_GB2312"/>
          <w:b w:val="0"/>
          <w:bCs w:val="0"/>
          <w:color w:val="000000"/>
          <w:spacing w:val="-4"/>
          <w:sz w:val="32"/>
          <w:szCs w:val="32"/>
        </w:rPr>
      </w:pPr>
      <w:r>
        <w:rPr>
          <w:rFonts w:hint="eastAsia" w:ascii="仿宋_GB2312" w:hAnsi="仿宋_GB2312" w:eastAsia="仿宋_GB2312" w:cs="仿宋_GB2312"/>
          <w:b w:val="0"/>
          <w:bCs w:val="0"/>
          <w:color w:val="000000"/>
          <w:kern w:val="0"/>
          <w:sz w:val="32"/>
          <w:szCs w:val="32"/>
        </w:rPr>
        <w:t>主管部门（公章）：</w:t>
      </w:r>
      <w:r>
        <w:rPr>
          <w:rStyle w:val="19"/>
          <w:rFonts w:hint="eastAsia" w:ascii="仿宋_GB2312" w:hAnsi="仿宋_GB2312" w:eastAsia="仿宋_GB2312" w:cs="仿宋_GB2312"/>
          <w:b w:val="0"/>
          <w:bCs w:val="0"/>
          <w:color w:val="000000"/>
          <w:spacing w:val="-4"/>
          <w:sz w:val="32"/>
          <w:szCs w:val="32"/>
        </w:rPr>
        <w:t>中国国际贸易促进委员会新疆维吾尔自治区委员会</w:t>
      </w:r>
    </w:p>
    <w:p>
      <w:pPr>
        <w:spacing w:line="540" w:lineRule="exact"/>
        <w:ind w:firstLine="800" w:firstLineChars="250"/>
        <w:rPr>
          <w:rFonts w:hint="eastAsia" w:ascii="仿宋_GB2312" w:hAnsi="仿宋_GB2312" w:eastAsia="仿宋_GB2312" w:cs="仿宋_GB2312"/>
          <w:b w:val="0"/>
          <w:bCs w:val="0"/>
          <w:color w:val="000000"/>
          <w:spacing w:val="-4"/>
          <w:sz w:val="32"/>
          <w:szCs w:val="32"/>
        </w:rPr>
      </w:pPr>
      <w:r>
        <w:rPr>
          <w:rFonts w:hint="eastAsia" w:ascii="仿宋_GB2312" w:hAnsi="仿宋_GB2312" w:eastAsia="仿宋_GB2312" w:cs="仿宋_GB2312"/>
          <w:b w:val="0"/>
          <w:bCs w:val="0"/>
          <w:color w:val="000000"/>
          <w:kern w:val="0"/>
          <w:sz w:val="32"/>
          <w:szCs w:val="32"/>
        </w:rPr>
        <w:t>项目负责人（签章）：</w:t>
      </w:r>
      <w:r>
        <w:rPr>
          <w:rStyle w:val="19"/>
          <w:rFonts w:hint="eastAsia" w:ascii="仿宋_GB2312" w:hAnsi="仿宋_GB2312" w:eastAsia="仿宋_GB2312" w:cs="仿宋_GB2312"/>
          <w:b w:val="0"/>
          <w:bCs w:val="0"/>
          <w:color w:val="000000"/>
          <w:spacing w:val="-4"/>
          <w:sz w:val="32"/>
          <w:szCs w:val="32"/>
        </w:rPr>
        <w:t>张海江</w:t>
      </w:r>
    </w:p>
    <w:p>
      <w:pPr>
        <w:spacing w:line="540" w:lineRule="exact"/>
        <w:ind w:left="273" w:firstLine="567"/>
        <w:rPr>
          <w:rStyle w:val="19"/>
          <w:rFonts w:hint="eastAsia" w:ascii="仿宋_GB2312" w:hAnsi="仿宋_GB2312" w:eastAsia="仿宋_GB2312" w:cs="仿宋_GB2312"/>
          <w:b w:val="0"/>
          <w:bCs w:val="0"/>
          <w:color w:val="000000"/>
          <w:spacing w:val="-4"/>
          <w:sz w:val="32"/>
          <w:szCs w:val="32"/>
        </w:rPr>
      </w:pPr>
      <w:r>
        <w:rPr>
          <w:rFonts w:hint="eastAsia" w:ascii="仿宋_GB2312" w:hAnsi="仿宋_GB2312" w:eastAsia="仿宋_GB2312" w:cs="仿宋_GB2312"/>
          <w:b w:val="0"/>
          <w:bCs w:val="0"/>
          <w:color w:val="000000"/>
          <w:kern w:val="0"/>
          <w:sz w:val="32"/>
          <w:szCs w:val="32"/>
        </w:rPr>
        <w:t>填报时间：</w:t>
      </w:r>
      <w:r>
        <w:rPr>
          <w:rStyle w:val="19"/>
          <w:rFonts w:hint="eastAsia" w:ascii="仿宋_GB2312" w:hAnsi="仿宋_GB2312" w:eastAsia="仿宋_GB2312" w:cs="仿宋_GB2312"/>
          <w:b w:val="0"/>
          <w:bCs w:val="0"/>
          <w:color w:val="000000"/>
          <w:spacing w:val="-4"/>
          <w:sz w:val="32"/>
          <w:szCs w:val="32"/>
        </w:rPr>
        <w:t>202</w:t>
      </w:r>
      <w:bookmarkStart w:id="3" w:name="_GoBack"/>
      <w:bookmarkEnd w:id="3"/>
      <w:r>
        <w:rPr>
          <w:rStyle w:val="19"/>
          <w:rFonts w:hint="eastAsia" w:ascii="仿宋_GB2312" w:hAnsi="仿宋_GB2312" w:eastAsia="仿宋_GB2312" w:cs="仿宋_GB2312"/>
          <w:b w:val="0"/>
          <w:bCs w:val="0"/>
          <w:color w:val="000000"/>
          <w:spacing w:val="-4"/>
          <w:sz w:val="32"/>
          <w:szCs w:val="32"/>
          <w:lang w:val="en-US" w:eastAsia="zh-CN"/>
        </w:rPr>
        <w:t>3</w:t>
      </w:r>
      <w:r>
        <w:rPr>
          <w:rStyle w:val="19"/>
          <w:rFonts w:hint="eastAsia" w:ascii="仿宋_GB2312" w:hAnsi="仿宋_GB2312" w:eastAsia="仿宋_GB2312" w:cs="仿宋_GB2312"/>
          <w:b w:val="0"/>
          <w:bCs w:val="0"/>
          <w:color w:val="000000"/>
          <w:spacing w:val="-4"/>
          <w:sz w:val="32"/>
          <w:szCs w:val="32"/>
        </w:rPr>
        <w:t>年04月10日</w:t>
      </w:r>
    </w:p>
    <w:p>
      <w:pPr>
        <w:spacing w:line="700" w:lineRule="exact"/>
        <w:ind w:firstLine="708" w:firstLineChars="236"/>
        <w:jc w:val="left"/>
        <w:rPr>
          <w:rFonts w:hAnsi="宋体" w:eastAsia="仿宋_GB2312" w:cs="宋体"/>
          <w:color w:val="000000"/>
          <w:kern w:val="0"/>
          <w:sz w:val="30"/>
          <w:szCs w:val="30"/>
        </w:rPr>
      </w:pPr>
    </w:p>
    <w:p>
      <w:pPr>
        <w:spacing w:line="540" w:lineRule="exact"/>
        <w:rPr>
          <w:rStyle w:val="19"/>
          <w:rFonts w:ascii="黑体" w:hAnsi="黑体" w:eastAsia="黑体"/>
          <w:b w:val="0"/>
          <w:color w:val="000000"/>
          <w:spacing w:val="-4"/>
          <w:sz w:val="32"/>
          <w:szCs w:val="32"/>
        </w:rPr>
      </w:pPr>
    </w:p>
    <w:p>
      <w:pPr>
        <w:spacing w:line="540" w:lineRule="exact"/>
        <w:ind w:firstLine="640"/>
        <w:rPr>
          <w:rStyle w:val="19"/>
          <w:rFonts w:ascii="黑体" w:hAnsi="黑体" w:eastAsia="黑体"/>
          <w:b w:val="0"/>
          <w:color w:val="000000"/>
          <w:spacing w:val="-4"/>
          <w:sz w:val="32"/>
          <w:szCs w:val="32"/>
        </w:rPr>
      </w:pPr>
      <w:r>
        <w:rPr>
          <w:rStyle w:val="19"/>
          <w:rFonts w:hint="eastAsia" w:ascii="黑体" w:hAnsi="黑体" w:eastAsia="黑体"/>
          <w:b w:val="0"/>
          <w:color w:val="000000"/>
          <w:spacing w:val="-4"/>
          <w:sz w:val="32"/>
          <w:szCs w:val="32"/>
        </w:rPr>
        <w:t>一、基本情况</w:t>
      </w:r>
    </w:p>
    <w:p>
      <w:pPr>
        <w:spacing w:line="540" w:lineRule="exact"/>
        <w:ind w:firstLine="567"/>
        <w:rPr>
          <w:rStyle w:val="19"/>
          <w:rFonts w:ascii="楷体" w:hAnsi="楷体" w:eastAsia="楷体"/>
          <w:color w:val="000000"/>
          <w:spacing w:val="-4"/>
          <w:sz w:val="32"/>
          <w:szCs w:val="32"/>
        </w:rPr>
      </w:pPr>
      <w:r>
        <w:rPr>
          <w:rStyle w:val="19"/>
          <w:rFonts w:hint="eastAsia" w:ascii="楷体" w:hAnsi="楷体" w:eastAsia="楷体"/>
          <w:color w:val="000000"/>
          <w:spacing w:val="-4"/>
          <w:sz w:val="32"/>
          <w:szCs w:val="32"/>
        </w:rPr>
        <w:t>（一）项目概况。</w:t>
      </w:r>
    </w:p>
    <w:p>
      <w:pPr>
        <w:spacing w:line="540" w:lineRule="exact"/>
        <w:ind w:firstLine="567"/>
        <w:rPr>
          <w:rStyle w:val="19"/>
          <w:rFonts w:ascii="仿宋_GB2312" w:hAnsi="仿宋_GB2312" w:eastAsia="仿宋_GB2312" w:cs="仿宋_GB2312"/>
          <w:b w:val="0"/>
          <w:bCs w:val="0"/>
          <w:color w:val="000000"/>
          <w:spacing w:val="-4"/>
          <w:sz w:val="32"/>
          <w:szCs w:val="32"/>
        </w:rPr>
      </w:pPr>
      <w:r>
        <w:rPr>
          <w:rStyle w:val="19"/>
          <w:rFonts w:hint="eastAsia" w:ascii="仿宋_GB2312" w:hAnsi="仿宋_GB2312" w:eastAsia="仿宋_GB2312" w:cs="仿宋_GB2312"/>
          <w:b w:val="0"/>
          <w:bCs w:val="0"/>
          <w:color w:val="000000"/>
          <w:spacing w:val="-4"/>
          <w:sz w:val="32"/>
          <w:szCs w:val="32"/>
        </w:rPr>
        <w:t>1.项目背景</w:t>
      </w:r>
    </w:p>
    <w:p>
      <w:pPr>
        <w:spacing w:line="540" w:lineRule="exact"/>
        <w:ind w:firstLine="567"/>
        <w:rPr>
          <w:rStyle w:val="19"/>
          <w:rFonts w:ascii="仿宋_GB2312" w:hAnsi="仿宋_GB2312" w:eastAsia="仿宋_GB2312" w:cs="仿宋_GB2312"/>
          <w:b w:val="0"/>
          <w:bCs w:val="0"/>
          <w:color w:val="000000"/>
          <w:spacing w:val="-4"/>
          <w:sz w:val="32"/>
          <w:szCs w:val="32"/>
        </w:rPr>
      </w:pPr>
      <w:r>
        <w:rPr>
          <w:rFonts w:hint="eastAsia" w:ascii="仿宋" w:hAnsi="仿宋" w:eastAsia="仿宋"/>
          <w:color w:val="000000"/>
          <w:sz w:val="32"/>
          <w:szCs w:val="32"/>
        </w:rPr>
        <w:t>全力推进新疆贸易投资促进工作，主动对接举办地贸促机构，大力邀请疆外企业参与我区主题经贸活动会，同时，充分发挥“亦官亦民”身份优势，在各类活动中积极植入新疆元素、表达新疆观点，引导正面认知、争取理解支持，</w:t>
      </w:r>
      <w:r>
        <w:rPr>
          <w:rStyle w:val="19"/>
          <w:rFonts w:hint="eastAsia" w:ascii="仿宋_GB2312" w:hAnsi="仿宋_GB2312" w:eastAsia="仿宋_GB2312" w:cs="仿宋_GB2312"/>
          <w:b w:val="0"/>
          <w:bCs w:val="0"/>
          <w:color w:val="000000"/>
          <w:spacing w:val="-4"/>
          <w:sz w:val="32"/>
          <w:szCs w:val="32"/>
        </w:rPr>
        <w:t>与世界各国，特别是周边国家经贸交流合作，拓展对外联系，推介新疆投资环境，展示新疆社会经济发展状况，促进我区会展经济的健康发展，构建多双边合作机制，切实增强贸促服务的能力，提升政府服务企业的效果，开辟新的“一带一路”沿线国家市场，促进与周边国家政府和民间的交流交往，为企业提供更多交流合作的机会，充分发挥新疆贸促会在国家一带一路战略发展中的重要作用。</w:t>
      </w:r>
    </w:p>
    <w:p>
      <w:pPr>
        <w:spacing w:line="540" w:lineRule="exact"/>
        <w:ind w:firstLine="567"/>
        <w:rPr>
          <w:rStyle w:val="19"/>
          <w:rFonts w:ascii="仿宋_GB2312" w:hAnsi="仿宋_GB2312" w:eastAsia="仿宋_GB2312" w:cs="仿宋_GB2312"/>
          <w:b w:val="0"/>
          <w:bCs w:val="0"/>
          <w:color w:val="000000"/>
          <w:spacing w:val="-4"/>
          <w:sz w:val="32"/>
          <w:szCs w:val="32"/>
        </w:rPr>
      </w:pPr>
      <w:r>
        <w:rPr>
          <w:rStyle w:val="19"/>
          <w:rFonts w:hint="eastAsia" w:ascii="仿宋_GB2312" w:hAnsi="仿宋_GB2312" w:eastAsia="仿宋_GB2312" w:cs="仿宋_GB2312"/>
          <w:b w:val="0"/>
          <w:bCs w:val="0"/>
          <w:color w:val="000000"/>
          <w:spacing w:val="-4"/>
          <w:sz w:val="32"/>
          <w:szCs w:val="32"/>
        </w:rPr>
        <w:t>2.主要内容</w:t>
      </w:r>
      <w:r>
        <w:rPr>
          <w:rStyle w:val="19"/>
          <w:rFonts w:ascii="仿宋_GB2312" w:hAnsi="仿宋_GB2312" w:eastAsia="仿宋_GB2312" w:cs="仿宋_GB2312"/>
          <w:b w:val="0"/>
          <w:bCs w:val="0"/>
          <w:color w:val="000000"/>
          <w:spacing w:val="-4"/>
          <w:sz w:val="32"/>
          <w:szCs w:val="32"/>
        </w:rPr>
        <w:t>及实施情况</w:t>
      </w:r>
    </w:p>
    <w:p>
      <w:pPr>
        <w:spacing w:line="540" w:lineRule="exact"/>
        <w:ind w:firstLine="567"/>
        <w:rPr>
          <w:rStyle w:val="19"/>
          <w:rFonts w:ascii="仿宋_GB2312" w:hAnsi="仿宋_GB2312" w:eastAsia="仿宋_GB2312" w:cs="仿宋_GB2312"/>
          <w:b w:val="0"/>
          <w:bCs w:val="0"/>
          <w:color w:val="000000"/>
          <w:spacing w:val="-4"/>
          <w:sz w:val="32"/>
          <w:szCs w:val="32"/>
        </w:rPr>
      </w:pPr>
      <w:r>
        <w:rPr>
          <w:rStyle w:val="19"/>
          <w:rFonts w:hint="eastAsia" w:ascii="仿宋_GB2312" w:hAnsi="仿宋_GB2312" w:eastAsia="仿宋_GB2312" w:cs="仿宋_GB2312"/>
          <w:b w:val="0"/>
          <w:bCs w:val="0"/>
          <w:color w:val="000000"/>
          <w:spacing w:val="-4"/>
          <w:sz w:val="32"/>
          <w:szCs w:val="32"/>
        </w:rPr>
        <w:t>202</w:t>
      </w:r>
      <w:r>
        <w:rPr>
          <w:rStyle w:val="19"/>
          <w:rFonts w:hint="eastAsia" w:ascii="仿宋_GB2312" w:hAnsi="仿宋_GB2312" w:eastAsia="仿宋_GB2312" w:cs="仿宋_GB2312"/>
          <w:b w:val="0"/>
          <w:bCs w:val="0"/>
          <w:color w:val="000000"/>
          <w:spacing w:val="-4"/>
          <w:sz w:val="32"/>
          <w:szCs w:val="32"/>
          <w:lang w:val="en-US" w:eastAsia="zh-CN"/>
        </w:rPr>
        <w:t>3</w:t>
      </w:r>
      <w:r>
        <w:rPr>
          <w:rStyle w:val="19"/>
          <w:rFonts w:hint="eastAsia" w:ascii="仿宋_GB2312" w:hAnsi="仿宋_GB2312" w:eastAsia="仿宋_GB2312" w:cs="仿宋_GB2312"/>
          <w:b w:val="0"/>
          <w:bCs w:val="0"/>
          <w:color w:val="000000"/>
          <w:spacing w:val="-4"/>
          <w:sz w:val="32"/>
          <w:szCs w:val="32"/>
        </w:rPr>
        <w:t>年各项工作均按计划有序进行。我单位及时掌握我区贸促工作开展情况和国际经贸形势，提升工作人员业务能力和专业素质，积极创新，通过为新疆企业积极搭建经贸、法律平台，推动新疆贸促事业发展，更好的服务政府、服务企业、服务社会，助力新疆“丝绸之路经济带”核心区建设，推动我区开放型经济高质量发展。</w:t>
      </w:r>
    </w:p>
    <w:p>
      <w:pPr>
        <w:spacing w:line="540" w:lineRule="exact"/>
        <w:ind w:firstLine="567"/>
        <w:rPr>
          <w:rStyle w:val="19"/>
          <w:rFonts w:ascii="仿宋_GB2312" w:hAnsi="仿宋_GB2312" w:eastAsia="仿宋_GB2312" w:cs="仿宋_GB2312"/>
          <w:spacing w:val="-4"/>
        </w:rPr>
      </w:pPr>
      <w:r>
        <w:rPr>
          <w:rStyle w:val="19"/>
          <w:rFonts w:hint="eastAsia" w:ascii="仿宋_GB2312" w:hAnsi="仿宋_GB2312" w:eastAsia="仿宋_GB2312" w:cs="仿宋_GB2312"/>
          <w:b w:val="0"/>
          <w:bCs w:val="0"/>
          <w:color w:val="000000"/>
          <w:spacing w:val="-4"/>
          <w:sz w:val="32"/>
          <w:szCs w:val="32"/>
        </w:rPr>
        <w:t>202</w:t>
      </w:r>
      <w:r>
        <w:rPr>
          <w:rStyle w:val="19"/>
          <w:rFonts w:hint="eastAsia" w:ascii="仿宋_GB2312" w:hAnsi="仿宋_GB2312" w:eastAsia="仿宋_GB2312" w:cs="仿宋_GB2312"/>
          <w:b w:val="0"/>
          <w:bCs w:val="0"/>
          <w:color w:val="000000"/>
          <w:spacing w:val="-4"/>
          <w:sz w:val="32"/>
          <w:szCs w:val="32"/>
          <w:lang w:val="en-US" w:eastAsia="zh-CN"/>
        </w:rPr>
        <w:t>3</w:t>
      </w:r>
      <w:r>
        <w:rPr>
          <w:rStyle w:val="19"/>
          <w:rFonts w:hint="eastAsia" w:ascii="仿宋_GB2312" w:hAnsi="仿宋_GB2312" w:eastAsia="仿宋_GB2312" w:cs="仿宋_GB2312"/>
          <w:b w:val="0"/>
          <w:bCs w:val="0"/>
          <w:color w:val="000000"/>
          <w:spacing w:val="-4"/>
          <w:sz w:val="32"/>
          <w:szCs w:val="32"/>
        </w:rPr>
        <w:t>年积极</w:t>
      </w:r>
      <w:r>
        <w:rPr>
          <w:rStyle w:val="19"/>
          <w:rFonts w:ascii="仿宋_GB2312" w:hAnsi="仿宋_GB2312" w:eastAsia="仿宋_GB2312" w:cs="仿宋_GB2312"/>
          <w:b w:val="0"/>
          <w:bCs w:val="0"/>
          <w:color w:val="000000"/>
          <w:spacing w:val="-4"/>
          <w:sz w:val="32"/>
          <w:szCs w:val="32"/>
        </w:rPr>
        <w:t>组织企业参加</w:t>
      </w:r>
      <w:r>
        <w:rPr>
          <w:rFonts w:hint="eastAsia" w:ascii="仿宋_GB2312" w:hAnsi="仿宋_GB2312" w:eastAsia="仿宋_GB2312" w:cs="方正仿宋_GBK"/>
          <w:sz w:val="32"/>
          <w:szCs w:val="32"/>
        </w:rPr>
        <w:t>2023（第十二届）乌兹别克斯坦—中国新疆商品展览会</w:t>
      </w:r>
      <w:r>
        <w:rPr>
          <w:rStyle w:val="19"/>
          <w:rFonts w:hint="eastAsia" w:ascii="仿宋_GB2312" w:hAnsi="仿宋_GB2312" w:eastAsia="仿宋_GB2312" w:cs="仿宋_GB2312"/>
          <w:b w:val="0"/>
          <w:bCs w:val="0"/>
          <w:color w:val="000000"/>
          <w:spacing w:val="-4"/>
          <w:sz w:val="32"/>
          <w:szCs w:val="32"/>
        </w:rPr>
        <w:t>、202</w:t>
      </w:r>
      <w:r>
        <w:rPr>
          <w:rStyle w:val="19"/>
          <w:rFonts w:hint="eastAsia" w:ascii="仿宋_GB2312" w:hAnsi="仿宋_GB2312" w:eastAsia="仿宋_GB2312" w:cs="仿宋_GB2312"/>
          <w:b w:val="0"/>
          <w:bCs w:val="0"/>
          <w:color w:val="000000"/>
          <w:spacing w:val="-4"/>
          <w:sz w:val="32"/>
          <w:szCs w:val="32"/>
          <w:lang w:val="en-US" w:eastAsia="zh-CN"/>
        </w:rPr>
        <w:t>3</w:t>
      </w:r>
      <w:r>
        <w:rPr>
          <w:rStyle w:val="19"/>
          <w:rFonts w:hint="eastAsia" w:ascii="仿宋_GB2312" w:hAnsi="仿宋_GB2312" w:eastAsia="仿宋_GB2312" w:cs="仿宋_GB2312"/>
          <w:b w:val="0"/>
          <w:bCs w:val="0"/>
          <w:color w:val="000000"/>
          <w:spacing w:val="-4"/>
          <w:sz w:val="32"/>
          <w:szCs w:val="32"/>
        </w:rPr>
        <w:t>年中国国际消费品博览会、中国-东盟国际贸易数字展览会、PCEP外贸合作高层论坛等境内外博览会、展览会、推介会等重要经贸活动，帮助新疆企业开阔视野、打开市场。202</w:t>
      </w:r>
      <w:r>
        <w:rPr>
          <w:rStyle w:val="19"/>
          <w:rFonts w:hint="eastAsia" w:ascii="仿宋_GB2312" w:hAnsi="仿宋_GB2312" w:eastAsia="仿宋_GB2312" w:cs="仿宋_GB2312"/>
          <w:b w:val="0"/>
          <w:bCs w:val="0"/>
          <w:color w:val="000000"/>
          <w:spacing w:val="-4"/>
          <w:sz w:val="32"/>
          <w:szCs w:val="32"/>
          <w:lang w:val="en-US" w:eastAsia="zh-CN"/>
        </w:rPr>
        <w:t>3</w:t>
      </w:r>
      <w:r>
        <w:rPr>
          <w:rStyle w:val="19"/>
          <w:rFonts w:hint="eastAsia" w:ascii="仿宋_GB2312" w:hAnsi="仿宋_GB2312" w:eastAsia="仿宋_GB2312" w:cs="仿宋_GB2312"/>
          <w:b w:val="0"/>
          <w:bCs w:val="0"/>
          <w:color w:val="000000"/>
          <w:spacing w:val="-4"/>
          <w:sz w:val="32"/>
          <w:szCs w:val="32"/>
        </w:rPr>
        <w:t>年参加博览会、展会、贸促业务会及调研18批次；业务系统软硬件运维</w:t>
      </w:r>
      <w:r>
        <w:rPr>
          <w:rStyle w:val="19"/>
          <w:rFonts w:hint="eastAsia" w:ascii="仿宋_GB2312" w:hAnsi="仿宋_GB2312" w:eastAsia="仿宋_GB2312" w:cs="仿宋_GB2312"/>
          <w:b w:val="0"/>
          <w:bCs w:val="0"/>
          <w:color w:val="000000"/>
          <w:spacing w:val="-4"/>
          <w:sz w:val="32"/>
          <w:szCs w:val="32"/>
          <w:lang w:val="en-US" w:eastAsia="zh-CN"/>
        </w:rPr>
        <w:t>1</w:t>
      </w:r>
      <w:r>
        <w:rPr>
          <w:rStyle w:val="19"/>
          <w:rFonts w:hint="eastAsia" w:ascii="仿宋_GB2312" w:hAnsi="仿宋_GB2312" w:eastAsia="仿宋_GB2312" w:cs="仿宋_GB2312"/>
          <w:b w:val="0"/>
          <w:bCs w:val="0"/>
          <w:color w:val="000000"/>
          <w:spacing w:val="-4"/>
          <w:sz w:val="32"/>
          <w:szCs w:val="32"/>
        </w:rPr>
        <w:t>套；业务工作会议及调研工作完成率100%；业务工作会议及调研工作按期完成率100%。</w:t>
      </w:r>
      <w:r>
        <w:rPr>
          <w:rStyle w:val="19"/>
          <w:rFonts w:ascii="仿宋_GB2312" w:hAnsi="仿宋_GB2312" w:eastAsia="仿宋_GB2312" w:cs="仿宋_GB2312"/>
          <w:spacing w:val="-4"/>
        </w:rPr>
        <w:t xml:space="preserve"> </w:t>
      </w:r>
    </w:p>
    <w:p>
      <w:pPr>
        <w:spacing w:line="540" w:lineRule="exact"/>
        <w:ind w:firstLine="567"/>
        <w:rPr>
          <w:rStyle w:val="19"/>
          <w:rFonts w:ascii="仿宋_GB2312" w:hAnsi="仿宋_GB2312" w:eastAsia="仿宋_GB2312" w:cs="仿宋_GB2312"/>
          <w:b w:val="0"/>
          <w:bCs w:val="0"/>
          <w:color w:val="000000"/>
          <w:spacing w:val="-4"/>
          <w:sz w:val="32"/>
          <w:szCs w:val="32"/>
        </w:rPr>
      </w:pPr>
      <w:r>
        <w:rPr>
          <w:rStyle w:val="19"/>
          <w:rFonts w:hint="eastAsia" w:ascii="仿宋_GB2312" w:hAnsi="仿宋_GB2312" w:eastAsia="仿宋_GB2312" w:cs="仿宋_GB2312"/>
          <w:b w:val="0"/>
          <w:bCs w:val="0"/>
          <w:color w:val="000000"/>
          <w:spacing w:val="-4"/>
          <w:sz w:val="32"/>
          <w:szCs w:val="32"/>
        </w:rPr>
        <w:t>3.</w:t>
      </w:r>
      <w:r>
        <w:rPr>
          <w:rStyle w:val="19"/>
          <w:rFonts w:ascii="仿宋_GB2312" w:hAnsi="仿宋_GB2312" w:eastAsia="仿宋_GB2312" w:cs="仿宋_GB2312"/>
          <w:b w:val="0"/>
          <w:bCs w:val="0"/>
          <w:color w:val="000000"/>
          <w:spacing w:val="-4"/>
          <w:sz w:val="32"/>
          <w:szCs w:val="32"/>
        </w:rPr>
        <w:t>资金投入及使用情况</w:t>
      </w:r>
    </w:p>
    <w:p>
      <w:pPr>
        <w:spacing w:line="540" w:lineRule="exact"/>
        <w:ind w:firstLine="600"/>
        <w:rPr>
          <w:rStyle w:val="19"/>
          <w:rFonts w:ascii="仿宋_GB2312" w:hAnsi="仿宋_GB2312" w:eastAsia="仿宋_GB2312" w:cs="仿宋_GB2312"/>
          <w:b w:val="0"/>
          <w:bCs w:val="0"/>
          <w:color w:val="000000"/>
          <w:spacing w:val="-4"/>
          <w:sz w:val="32"/>
          <w:szCs w:val="32"/>
        </w:rPr>
      </w:pPr>
      <w:r>
        <w:rPr>
          <w:rStyle w:val="19"/>
          <w:rFonts w:hint="eastAsia" w:ascii="仿宋_GB2312" w:hAnsi="仿宋_GB2312" w:eastAsia="仿宋_GB2312" w:cs="仿宋_GB2312"/>
          <w:b w:val="0"/>
          <w:bCs w:val="0"/>
          <w:color w:val="000000"/>
          <w:spacing w:val="-4"/>
          <w:sz w:val="32"/>
          <w:szCs w:val="32"/>
        </w:rPr>
        <w:t>资金投入情况：该项目</w:t>
      </w:r>
      <w:r>
        <w:rPr>
          <w:rFonts w:hint="eastAsia" w:ascii="仿宋_GB2312" w:hAnsi="仿宋_GB2312" w:eastAsia="仿宋_GB2312" w:cs="仿宋_GB2312"/>
          <w:color w:val="000000"/>
          <w:sz w:val="32"/>
          <w:szCs w:val="32"/>
        </w:rPr>
        <w:t>预算资金</w:t>
      </w:r>
      <w:r>
        <w:rPr>
          <w:rFonts w:hint="eastAsia" w:ascii="仿宋_GB2312" w:hAnsi="仿宋_GB2312" w:eastAsia="仿宋_GB2312" w:cs="仿宋_GB2312"/>
          <w:color w:val="000000"/>
          <w:sz w:val="32"/>
          <w:szCs w:val="32"/>
          <w:lang w:val="en-US" w:eastAsia="zh-CN"/>
        </w:rPr>
        <w:t>84</w:t>
      </w:r>
      <w:r>
        <w:rPr>
          <w:rFonts w:hint="eastAsia" w:ascii="仿宋_GB2312" w:hAnsi="仿宋_GB2312" w:eastAsia="仿宋_GB2312" w:cs="仿宋_GB2312"/>
          <w:color w:val="000000"/>
          <w:sz w:val="32"/>
          <w:szCs w:val="32"/>
        </w:rPr>
        <w:t>万元（</w:t>
      </w:r>
      <w:r>
        <w:rPr>
          <w:rFonts w:hint="eastAsia" w:ascii="仿宋" w:hAnsi="仿宋" w:eastAsia="仿宋"/>
          <w:color w:val="000000"/>
          <w:sz w:val="32"/>
          <w:szCs w:val="32"/>
        </w:rPr>
        <w:t>其中财政拨款</w:t>
      </w:r>
      <w:r>
        <w:rPr>
          <w:rFonts w:hint="eastAsia" w:ascii="仿宋" w:hAnsi="仿宋" w:eastAsia="仿宋"/>
          <w:color w:val="000000"/>
          <w:sz w:val="32"/>
          <w:szCs w:val="32"/>
          <w:lang w:val="en-US" w:eastAsia="zh-CN"/>
        </w:rPr>
        <w:t>84</w:t>
      </w:r>
      <w:r>
        <w:rPr>
          <w:rFonts w:hint="eastAsia" w:ascii="仿宋" w:hAnsi="仿宋" w:eastAsia="仿宋"/>
          <w:color w:val="000000"/>
          <w:sz w:val="32"/>
          <w:szCs w:val="32"/>
        </w:rPr>
        <w:t>万元）</w:t>
      </w:r>
      <w:r>
        <w:rPr>
          <w:rFonts w:hint="eastAsia" w:ascii="仿宋_GB2312" w:hAnsi="仿宋_GB2312" w:eastAsia="仿宋_GB2312" w:cs="仿宋_GB2312"/>
          <w:color w:val="000000"/>
          <w:sz w:val="32"/>
          <w:szCs w:val="32"/>
        </w:rPr>
        <w:t>，实际到位资金</w:t>
      </w:r>
      <w:r>
        <w:rPr>
          <w:rFonts w:hint="eastAsia" w:ascii="仿宋_GB2312" w:hAnsi="仿宋_GB2312" w:eastAsia="仿宋_GB2312" w:cs="仿宋_GB2312"/>
          <w:color w:val="000000"/>
          <w:sz w:val="32"/>
          <w:szCs w:val="32"/>
          <w:lang w:val="en-US" w:eastAsia="zh-CN"/>
        </w:rPr>
        <w:t>84</w:t>
      </w:r>
      <w:r>
        <w:rPr>
          <w:rFonts w:hint="eastAsia" w:ascii="仿宋_GB2312" w:hAnsi="仿宋_GB2312" w:eastAsia="仿宋_GB2312" w:cs="仿宋_GB2312"/>
          <w:color w:val="000000"/>
          <w:sz w:val="32"/>
          <w:szCs w:val="32"/>
        </w:rPr>
        <w:t>万元</w:t>
      </w:r>
      <w:r>
        <w:rPr>
          <w:rStyle w:val="19"/>
          <w:rFonts w:hint="eastAsia" w:ascii="仿宋_GB2312" w:hAnsi="仿宋_GB2312" w:eastAsia="仿宋_GB2312" w:cs="仿宋_GB2312"/>
          <w:b w:val="0"/>
          <w:bCs w:val="0"/>
          <w:color w:val="000000"/>
          <w:spacing w:val="-4"/>
          <w:sz w:val="32"/>
          <w:szCs w:val="32"/>
        </w:rPr>
        <w:t>。</w:t>
      </w:r>
    </w:p>
    <w:p>
      <w:pPr>
        <w:spacing w:line="540" w:lineRule="exact"/>
        <w:ind w:firstLine="640"/>
        <w:rPr>
          <w:rFonts w:ascii="仿宋_GB2312" w:hAnsi="仿宋_GB2312" w:eastAsia="仿宋_GB2312" w:cs="仿宋_GB2312"/>
          <w:color w:val="000000"/>
          <w:sz w:val="32"/>
          <w:szCs w:val="32"/>
        </w:rPr>
      </w:pPr>
      <w:r>
        <w:rPr>
          <w:rStyle w:val="19"/>
          <w:rFonts w:hint="eastAsia" w:ascii="仿宋_GB2312" w:hAnsi="仿宋_GB2312" w:eastAsia="仿宋_GB2312" w:cs="仿宋_GB2312"/>
          <w:b w:val="0"/>
          <w:bCs w:val="0"/>
          <w:color w:val="000000"/>
          <w:spacing w:val="-4"/>
          <w:sz w:val="32"/>
          <w:szCs w:val="32"/>
        </w:rPr>
        <w:t>资金使用情况：</w:t>
      </w:r>
      <w:r>
        <w:rPr>
          <w:rFonts w:hint="eastAsia" w:ascii="仿宋_GB2312" w:hAnsi="仿宋_GB2312" w:eastAsia="仿宋_GB2312" w:cs="仿宋_GB2312"/>
          <w:color w:val="000000"/>
          <w:sz w:val="32"/>
          <w:szCs w:val="32"/>
        </w:rPr>
        <w:t>全年预算数84万元，预算执行率为100%。（详见</w:t>
      </w:r>
      <w:r>
        <w:rPr>
          <w:rFonts w:hint="eastAsia" w:ascii="仿宋_GB2312" w:hAnsi="仿宋_GB2312" w:eastAsia="仿宋_GB2312" w:cs="仿宋_GB2312"/>
          <w:bCs/>
          <w:color w:val="000000"/>
          <w:sz w:val="32"/>
          <w:szCs w:val="32"/>
        </w:rPr>
        <w:t>五、</w:t>
      </w:r>
      <w:r>
        <w:rPr>
          <w:rStyle w:val="19"/>
          <w:rFonts w:hint="eastAsia" w:ascii="仿宋_GB2312" w:hAnsi="仿宋_GB2312" w:eastAsia="仿宋_GB2312" w:cs="仿宋_GB2312"/>
          <w:b w:val="0"/>
          <w:bCs w:val="0"/>
          <w:color w:val="000000"/>
          <w:spacing w:val="-4"/>
          <w:sz w:val="32"/>
          <w:szCs w:val="32"/>
        </w:rPr>
        <w:t>（二）</w:t>
      </w:r>
      <w:r>
        <w:rPr>
          <w:rFonts w:hint="eastAsia" w:ascii="仿宋_GB2312" w:hAnsi="仿宋_GB2312" w:eastAsia="仿宋_GB2312" w:cs="仿宋_GB2312"/>
          <w:bCs/>
          <w:color w:val="000000"/>
          <w:sz w:val="32"/>
          <w:szCs w:val="32"/>
        </w:rPr>
        <w:t>预算执行进度与绩效指标偏差</w:t>
      </w:r>
      <w:r>
        <w:rPr>
          <w:rFonts w:hint="eastAsia" w:ascii="仿宋_GB2312" w:hAnsi="仿宋_GB2312" w:eastAsia="仿宋_GB2312" w:cs="仿宋_GB2312"/>
          <w:color w:val="000000"/>
          <w:sz w:val="32"/>
          <w:szCs w:val="32"/>
        </w:rPr>
        <w:t>）</w:t>
      </w:r>
    </w:p>
    <w:p>
      <w:pPr>
        <w:spacing w:line="540" w:lineRule="exact"/>
        <w:ind w:firstLine="567" w:firstLineChars="181"/>
        <w:rPr>
          <w:rStyle w:val="19"/>
          <w:rFonts w:ascii="楷体" w:hAnsi="楷体" w:eastAsia="楷体"/>
          <w:color w:val="000000"/>
          <w:spacing w:val="-4"/>
          <w:sz w:val="32"/>
          <w:szCs w:val="32"/>
        </w:rPr>
      </w:pPr>
      <w:r>
        <w:rPr>
          <w:rStyle w:val="19"/>
          <w:rFonts w:hint="eastAsia" w:ascii="楷体" w:hAnsi="楷体" w:eastAsia="楷体"/>
          <w:color w:val="000000"/>
          <w:spacing w:val="-4"/>
          <w:sz w:val="32"/>
          <w:szCs w:val="32"/>
        </w:rPr>
        <w:t>（二）项目绩效目标。</w:t>
      </w:r>
    </w:p>
    <w:p>
      <w:pPr>
        <w:spacing w:line="540" w:lineRule="exact"/>
        <w:ind w:firstLine="640"/>
        <w:rPr>
          <w:rStyle w:val="19"/>
          <w:rFonts w:ascii="仿宋_GB2312" w:hAnsi="仿宋_GB2312" w:eastAsia="仿宋_GB2312" w:cs="仿宋_GB2312"/>
          <w:b w:val="0"/>
          <w:bCs w:val="0"/>
          <w:color w:val="000000"/>
          <w:spacing w:val="-4"/>
          <w:sz w:val="32"/>
          <w:szCs w:val="32"/>
        </w:rPr>
      </w:pPr>
      <w:r>
        <w:rPr>
          <w:rStyle w:val="19"/>
          <w:rFonts w:ascii="仿宋_GB2312" w:hAnsi="仿宋_GB2312" w:eastAsia="仿宋_GB2312" w:cs="仿宋_GB2312"/>
          <w:b w:val="0"/>
          <w:bCs w:val="0"/>
          <w:color w:val="000000"/>
          <w:spacing w:val="-4"/>
          <w:sz w:val="32"/>
          <w:szCs w:val="32"/>
        </w:rPr>
        <w:t>总体目标：</w:t>
      </w:r>
      <w:r>
        <w:rPr>
          <w:rStyle w:val="19"/>
          <w:rFonts w:hint="eastAsia" w:ascii="仿宋_GB2312" w:hAnsi="仿宋_GB2312" w:eastAsia="仿宋_GB2312" w:cs="仿宋_GB2312"/>
          <w:b w:val="0"/>
          <w:bCs w:val="0"/>
          <w:color w:val="000000"/>
          <w:spacing w:val="-4"/>
          <w:sz w:val="32"/>
          <w:szCs w:val="32"/>
        </w:rPr>
        <w:t>通过参加博览会、展会、贸促会业务会、高访团及接待境外工商会代表团等活动，有效提高单位工作人员的政治素质及业务工作能力;通过开展与世界各国，特别是周边国家经贸交流合作，拓展对外联系，推介新疆投资环境，展示新疆社会经济发展状况，促进我区会展经济的健康发展，构建多双边合作机制，切实增强贸促服务的能力，提升政府服务企业的效果，促进与周边国家政府和民间的交流交往，为企业提供更多交流合作的机会，充分发挥新疆贸促会在国家“一带一路”核心区建设中的重要作用。为贯彻落实社会稳定和长治久安总目标，积极做好“访惠聚”各项工作的经费和后期保障工作。</w:t>
      </w:r>
    </w:p>
    <w:p>
      <w:pPr>
        <w:spacing w:line="540" w:lineRule="exact"/>
        <w:ind w:firstLine="640"/>
        <w:rPr>
          <w:rStyle w:val="19"/>
          <w:rFonts w:ascii="楷体" w:hAnsi="楷体" w:eastAsia="楷体"/>
          <w:color w:val="000000"/>
          <w:spacing w:val="-4"/>
          <w:sz w:val="32"/>
          <w:szCs w:val="32"/>
        </w:rPr>
      </w:pPr>
      <w:r>
        <w:rPr>
          <w:rStyle w:val="19"/>
          <w:rFonts w:ascii="仿宋_GB2312" w:hAnsi="楷体" w:eastAsia="仿宋_GB2312"/>
          <w:b w:val="0"/>
          <w:color w:val="000000"/>
          <w:spacing w:val="-4"/>
          <w:sz w:val="32"/>
          <w:szCs w:val="32"/>
        </w:rPr>
        <w:t>阶段性目标：</w:t>
      </w:r>
      <w:r>
        <w:rPr>
          <w:rStyle w:val="19"/>
          <w:rFonts w:hint="eastAsia" w:ascii="仿宋_GB2312" w:hAnsi="楷体" w:eastAsia="仿宋_GB2312"/>
          <w:b w:val="0"/>
          <w:color w:val="000000"/>
          <w:spacing w:val="-4"/>
          <w:sz w:val="32"/>
          <w:szCs w:val="32"/>
        </w:rPr>
        <w:t>积极</w:t>
      </w:r>
      <w:r>
        <w:rPr>
          <w:rStyle w:val="19"/>
          <w:rFonts w:ascii="仿宋_GB2312" w:hAnsi="楷体" w:eastAsia="仿宋_GB2312"/>
          <w:b w:val="0"/>
          <w:color w:val="000000"/>
          <w:spacing w:val="-4"/>
          <w:sz w:val="32"/>
          <w:szCs w:val="32"/>
        </w:rPr>
        <w:t>组织我区企业</w:t>
      </w:r>
      <w:r>
        <w:rPr>
          <w:rStyle w:val="19"/>
          <w:rFonts w:hint="eastAsia" w:ascii="仿宋_GB2312" w:hAnsi="楷体" w:eastAsia="仿宋_GB2312"/>
          <w:b w:val="0"/>
          <w:color w:val="000000"/>
          <w:spacing w:val="-4"/>
          <w:sz w:val="32"/>
          <w:szCs w:val="32"/>
        </w:rPr>
        <w:t>以线上线下相结合的方式，</w:t>
      </w:r>
      <w:r>
        <w:rPr>
          <w:rStyle w:val="19"/>
          <w:rFonts w:ascii="仿宋_GB2312" w:hAnsi="楷体" w:eastAsia="仿宋_GB2312"/>
          <w:b w:val="0"/>
          <w:color w:val="000000"/>
          <w:spacing w:val="-4"/>
          <w:sz w:val="32"/>
          <w:szCs w:val="32"/>
        </w:rPr>
        <w:t>参加</w:t>
      </w:r>
      <w:r>
        <w:rPr>
          <w:rStyle w:val="19"/>
          <w:rFonts w:hint="eastAsia" w:ascii="仿宋_GB2312" w:hAnsi="楷体" w:eastAsia="仿宋_GB2312"/>
          <w:b w:val="0"/>
          <w:color w:val="000000"/>
          <w:spacing w:val="-4"/>
          <w:sz w:val="32"/>
          <w:szCs w:val="32"/>
        </w:rPr>
        <w:t>境内外博览会、展览会、推介会等重要经贸活动，帮助新疆企业开阔视野、打开市场。202</w:t>
      </w:r>
      <w:r>
        <w:rPr>
          <w:rStyle w:val="19"/>
          <w:rFonts w:hint="eastAsia" w:ascii="仿宋_GB2312" w:hAnsi="楷体" w:eastAsia="仿宋_GB2312"/>
          <w:b w:val="0"/>
          <w:color w:val="000000"/>
          <w:spacing w:val="-4"/>
          <w:sz w:val="32"/>
          <w:szCs w:val="32"/>
          <w:lang w:val="en-US" w:eastAsia="zh-CN"/>
        </w:rPr>
        <w:t>3</w:t>
      </w:r>
      <w:r>
        <w:rPr>
          <w:rStyle w:val="19"/>
          <w:rFonts w:hint="eastAsia" w:ascii="仿宋_GB2312" w:hAnsi="楷体" w:eastAsia="仿宋_GB2312"/>
          <w:b w:val="0"/>
          <w:color w:val="000000"/>
          <w:spacing w:val="-4"/>
          <w:sz w:val="32"/>
          <w:szCs w:val="32"/>
        </w:rPr>
        <w:t>年参加博览会、展会、贸促业务会及调研批次18</w:t>
      </w:r>
      <w:r>
        <w:rPr>
          <w:rStyle w:val="19"/>
          <w:rFonts w:ascii="仿宋_GB2312" w:hAnsi="楷体" w:eastAsia="仿宋_GB2312"/>
          <w:b w:val="0"/>
          <w:color w:val="000000"/>
          <w:spacing w:val="-4"/>
          <w:sz w:val="32"/>
          <w:szCs w:val="32"/>
        </w:rPr>
        <w:t>批次，</w:t>
      </w:r>
      <w:r>
        <w:rPr>
          <w:rStyle w:val="19"/>
          <w:rFonts w:hint="eastAsia" w:ascii="仿宋_GB2312" w:hAnsi="楷体" w:eastAsia="仿宋_GB2312"/>
          <w:b w:val="0"/>
          <w:color w:val="000000"/>
          <w:spacing w:val="-4"/>
          <w:sz w:val="32"/>
          <w:szCs w:val="32"/>
        </w:rPr>
        <w:t>业务系统软硬件运维数量</w:t>
      </w:r>
      <w:r>
        <w:rPr>
          <w:rStyle w:val="19"/>
          <w:rFonts w:hint="eastAsia" w:ascii="仿宋_GB2312" w:hAnsi="楷体" w:eastAsia="仿宋_GB2312"/>
          <w:b w:val="0"/>
          <w:color w:val="000000"/>
          <w:spacing w:val="-4"/>
          <w:sz w:val="32"/>
          <w:szCs w:val="32"/>
          <w:lang w:val="en-US" w:eastAsia="zh-CN"/>
        </w:rPr>
        <w:t>1</w:t>
      </w:r>
      <w:r>
        <w:rPr>
          <w:rStyle w:val="19"/>
          <w:rFonts w:hint="eastAsia" w:ascii="仿宋_GB2312" w:hAnsi="楷体" w:eastAsia="仿宋_GB2312"/>
          <w:b w:val="0"/>
          <w:color w:val="000000"/>
          <w:spacing w:val="-4"/>
          <w:sz w:val="32"/>
          <w:szCs w:val="32"/>
        </w:rPr>
        <w:t>套，</w:t>
      </w:r>
      <w:r>
        <w:rPr>
          <w:rStyle w:val="19"/>
          <w:rFonts w:ascii="仿宋_GB2312" w:hAnsi="楷体" w:eastAsia="仿宋_GB2312"/>
          <w:b w:val="0"/>
          <w:color w:val="000000"/>
          <w:spacing w:val="-4"/>
          <w:sz w:val="32"/>
          <w:szCs w:val="32"/>
        </w:rPr>
        <w:t>业务工作会议及调研工作完成率大于等于9</w:t>
      </w:r>
      <w:r>
        <w:rPr>
          <w:rStyle w:val="19"/>
          <w:rFonts w:hint="eastAsia" w:ascii="仿宋_GB2312" w:hAnsi="楷体" w:eastAsia="仿宋_GB2312"/>
          <w:b w:val="0"/>
          <w:color w:val="000000"/>
          <w:spacing w:val="-4"/>
          <w:sz w:val="32"/>
          <w:szCs w:val="32"/>
        </w:rPr>
        <w:t>0</w:t>
      </w:r>
      <w:r>
        <w:rPr>
          <w:rStyle w:val="19"/>
          <w:rFonts w:ascii="仿宋_GB2312" w:hAnsi="楷体" w:eastAsia="仿宋_GB2312"/>
          <w:b w:val="0"/>
          <w:color w:val="000000"/>
          <w:spacing w:val="-4"/>
          <w:sz w:val="32"/>
          <w:szCs w:val="32"/>
        </w:rPr>
        <w:t>%；</w:t>
      </w:r>
      <w:r>
        <w:rPr>
          <w:rStyle w:val="19"/>
          <w:rFonts w:hint="eastAsia" w:ascii="仿宋_GB2312" w:hAnsi="楷体" w:eastAsia="仿宋_GB2312"/>
          <w:b w:val="0"/>
          <w:color w:val="000000"/>
          <w:spacing w:val="-4"/>
          <w:sz w:val="32"/>
          <w:szCs w:val="32"/>
        </w:rPr>
        <w:t>业务系统故障率小</w:t>
      </w:r>
      <w:r>
        <w:rPr>
          <w:rStyle w:val="19"/>
          <w:rFonts w:ascii="仿宋_GB2312" w:hAnsi="楷体" w:eastAsia="仿宋_GB2312"/>
          <w:b w:val="0"/>
          <w:color w:val="000000"/>
          <w:spacing w:val="-4"/>
          <w:sz w:val="32"/>
          <w:szCs w:val="32"/>
        </w:rPr>
        <w:t>于等于</w:t>
      </w:r>
      <w:r>
        <w:rPr>
          <w:rStyle w:val="19"/>
          <w:rFonts w:hint="eastAsia" w:ascii="仿宋_GB2312" w:hAnsi="楷体" w:eastAsia="仿宋_GB2312"/>
          <w:b w:val="0"/>
          <w:color w:val="000000"/>
          <w:spacing w:val="-4"/>
          <w:sz w:val="32"/>
          <w:szCs w:val="32"/>
        </w:rPr>
        <w:t>15</w:t>
      </w:r>
      <w:r>
        <w:rPr>
          <w:rStyle w:val="19"/>
          <w:rFonts w:ascii="仿宋_GB2312" w:hAnsi="楷体" w:eastAsia="仿宋_GB2312"/>
          <w:b w:val="0"/>
          <w:color w:val="000000"/>
          <w:spacing w:val="-4"/>
          <w:sz w:val="32"/>
          <w:szCs w:val="32"/>
        </w:rPr>
        <w:t>%；业务工作会议及调研工作按期完成率100%。</w:t>
      </w:r>
    </w:p>
    <w:p>
      <w:pPr>
        <w:spacing w:line="540" w:lineRule="exact"/>
        <w:ind w:firstLine="640"/>
        <w:rPr>
          <w:rStyle w:val="19"/>
          <w:rFonts w:ascii="黑体" w:hAnsi="黑体" w:eastAsia="黑体"/>
          <w:b w:val="0"/>
          <w:color w:val="000000"/>
          <w:spacing w:val="-4"/>
          <w:sz w:val="32"/>
          <w:szCs w:val="32"/>
        </w:rPr>
      </w:pPr>
      <w:r>
        <w:rPr>
          <w:rStyle w:val="19"/>
          <w:rFonts w:hint="eastAsia" w:ascii="黑体" w:hAnsi="黑体" w:eastAsia="黑体"/>
          <w:b w:val="0"/>
          <w:color w:val="000000"/>
          <w:spacing w:val="-4"/>
          <w:sz w:val="32"/>
          <w:szCs w:val="32"/>
        </w:rPr>
        <w:t>二、</w:t>
      </w:r>
      <w:r>
        <w:rPr>
          <w:rStyle w:val="19"/>
          <w:rFonts w:hint="eastAsia"/>
          <w:color w:val="000000"/>
          <w:spacing w:val="-4"/>
          <w:sz w:val="32"/>
          <w:szCs w:val="32"/>
        </w:rPr>
        <w:t>绩效评价工作开展情况</w:t>
      </w:r>
    </w:p>
    <w:p>
      <w:pPr>
        <w:spacing w:line="540" w:lineRule="exact"/>
        <w:ind w:firstLine="567" w:firstLineChars="181"/>
        <w:rPr>
          <w:rStyle w:val="19"/>
          <w:rFonts w:ascii="楷体" w:hAnsi="楷体" w:eastAsia="楷体"/>
          <w:color w:val="000000"/>
          <w:spacing w:val="-4"/>
          <w:sz w:val="32"/>
          <w:szCs w:val="32"/>
        </w:rPr>
      </w:pPr>
      <w:r>
        <w:rPr>
          <w:rStyle w:val="19"/>
          <w:rFonts w:hint="eastAsia" w:ascii="楷体" w:hAnsi="楷体" w:eastAsia="楷体"/>
          <w:color w:val="000000"/>
          <w:spacing w:val="-4"/>
          <w:sz w:val="32"/>
          <w:szCs w:val="32"/>
        </w:rPr>
        <w:t>（一）绩效评价目的、对象和范围。</w:t>
      </w:r>
    </w:p>
    <w:p>
      <w:pPr>
        <w:spacing w:line="540" w:lineRule="exact"/>
        <w:ind w:firstLine="567"/>
        <w:rPr>
          <w:color w:val="000000"/>
        </w:rPr>
      </w:pPr>
      <w:r>
        <w:rPr>
          <w:rStyle w:val="19"/>
          <w:rFonts w:ascii="仿宋_GB2312" w:hAnsi="仿宋_GB2312" w:eastAsia="仿宋_GB2312" w:cs="仿宋_GB2312"/>
          <w:b w:val="0"/>
          <w:bCs w:val="0"/>
          <w:color w:val="000000"/>
          <w:spacing w:val="-4"/>
          <w:sz w:val="32"/>
          <w:szCs w:val="32"/>
        </w:rPr>
        <w:t>绩效评价的目的：</w:t>
      </w:r>
      <w:r>
        <w:rPr>
          <w:rStyle w:val="19"/>
          <w:rFonts w:hint="eastAsia" w:ascii="仿宋_GB2312" w:hAnsi="楷体" w:eastAsia="仿宋_GB2312"/>
          <w:b w:val="0"/>
          <w:color w:val="000000"/>
          <w:spacing w:val="-4"/>
          <w:sz w:val="32"/>
          <w:szCs w:val="32"/>
        </w:rPr>
        <w:t>通过绩效评价提高财政资金的使用效率，</w:t>
      </w:r>
      <w:r>
        <w:rPr>
          <w:rStyle w:val="19"/>
          <w:rFonts w:ascii="仿宋_GB2312" w:hAnsi="楷体" w:eastAsia="仿宋_GB2312"/>
          <w:b w:val="0"/>
          <w:color w:val="000000"/>
          <w:spacing w:val="-4"/>
          <w:sz w:val="32"/>
          <w:szCs w:val="32"/>
        </w:rPr>
        <w:t>组织我区企业</w:t>
      </w:r>
      <w:r>
        <w:rPr>
          <w:rStyle w:val="19"/>
          <w:rFonts w:hint="eastAsia" w:ascii="仿宋_GB2312" w:hAnsi="楷体" w:eastAsia="仿宋_GB2312"/>
          <w:b w:val="0"/>
          <w:color w:val="000000"/>
          <w:spacing w:val="-4"/>
          <w:sz w:val="32"/>
          <w:szCs w:val="32"/>
        </w:rPr>
        <w:t>以线上线下相结合的方式，</w:t>
      </w:r>
      <w:r>
        <w:rPr>
          <w:rStyle w:val="19"/>
          <w:rFonts w:ascii="仿宋_GB2312" w:hAnsi="楷体" w:eastAsia="仿宋_GB2312"/>
          <w:b w:val="0"/>
          <w:color w:val="000000"/>
          <w:spacing w:val="-4"/>
          <w:sz w:val="32"/>
          <w:szCs w:val="32"/>
        </w:rPr>
        <w:t>参加</w:t>
      </w:r>
      <w:r>
        <w:rPr>
          <w:rStyle w:val="19"/>
          <w:rFonts w:hint="eastAsia" w:ascii="仿宋_GB2312" w:hAnsi="楷体" w:eastAsia="仿宋_GB2312"/>
          <w:b w:val="0"/>
          <w:color w:val="000000"/>
          <w:spacing w:val="-4"/>
          <w:sz w:val="32"/>
          <w:szCs w:val="32"/>
        </w:rPr>
        <w:t>境内外博览会、展览会等重要经贸活动，促进</w:t>
      </w:r>
      <w:r>
        <w:rPr>
          <w:rFonts w:hint="eastAsia" w:ascii="仿宋_GB2312" w:hAnsi="仿宋" w:eastAsia="仿宋_GB2312"/>
          <w:color w:val="000000"/>
          <w:sz w:val="32"/>
          <w:szCs w:val="32"/>
        </w:rPr>
        <w:t>拓展境内外市场</w:t>
      </w:r>
      <w:r>
        <w:rPr>
          <w:rStyle w:val="19"/>
          <w:rFonts w:ascii="仿宋_GB2312" w:hAnsi="楷体" w:eastAsia="仿宋_GB2312"/>
          <w:b w:val="0"/>
          <w:color w:val="000000"/>
          <w:spacing w:val="-4"/>
          <w:sz w:val="32"/>
          <w:szCs w:val="32"/>
        </w:rPr>
        <w:t>及服务企业工作</w:t>
      </w:r>
      <w:r>
        <w:rPr>
          <w:rStyle w:val="19"/>
          <w:rFonts w:hint="eastAsia" w:ascii="仿宋_GB2312" w:hAnsi="楷体" w:eastAsia="仿宋_GB2312"/>
          <w:b w:val="0"/>
          <w:color w:val="000000"/>
          <w:spacing w:val="-4"/>
          <w:sz w:val="32"/>
          <w:szCs w:val="32"/>
        </w:rPr>
        <w:t>，</w:t>
      </w:r>
      <w:r>
        <w:rPr>
          <w:rFonts w:ascii="仿宋_GB2312" w:hAnsi="仿宋_GB2312" w:eastAsia="仿宋_GB2312" w:cs="仿宋_GB2312"/>
          <w:color w:val="000000"/>
          <w:spacing w:val="-11"/>
          <w:sz w:val="32"/>
          <w:szCs w:val="32"/>
        </w:rPr>
        <w:t>做好“请进来”“走出去”工作，</w:t>
      </w:r>
      <w:r>
        <w:rPr>
          <w:rStyle w:val="19"/>
          <w:rFonts w:hint="eastAsia" w:ascii="仿宋_GB2312" w:hAnsi="楷体" w:eastAsia="仿宋_GB2312"/>
          <w:b w:val="0"/>
          <w:color w:val="000000"/>
          <w:spacing w:val="-4"/>
          <w:sz w:val="32"/>
          <w:szCs w:val="32"/>
        </w:rPr>
        <w:t>提高为企业服务质量。</w:t>
      </w:r>
    </w:p>
    <w:p>
      <w:pPr>
        <w:spacing w:line="540" w:lineRule="exact"/>
        <w:ind w:firstLine="567"/>
        <w:rPr>
          <w:rStyle w:val="19"/>
          <w:rFonts w:ascii="仿宋_GB2312" w:hAnsi="楷体" w:eastAsia="仿宋_GB2312"/>
          <w:b w:val="0"/>
          <w:color w:val="000000"/>
          <w:spacing w:val="-4"/>
          <w:sz w:val="32"/>
          <w:szCs w:val="32"/>
        </w:rPr>
      </w:pPr>
      <w:r>
        <w:rPr>
          <w:rStyle w:val="19"/>
          <w:rFonts w:ascii="仿宋_GB2312" w:hAnsi="仿宋_GB2312" w:eastAsia="仿宋_GB2312" w:cs="仿宋_GB2312"/>
          <w:b w:val="0"/>
          <w:bCs w:val="0"/>
          <w:color w:val="000000"/>
          <w:spacing w:val="-4"/>
          <w:sz w:val="32"/>
          <w:szCs w:val="32"/>
        </w:rPr>
        <w:t>绩效评价的对象：</w:t>
      </w:r>
      <w:r>
        <w:rPr>
          <w:rStyle w:val="19"/>
          <w:rFonts w:hint="eastAsia" w:ascii="仿宋_GB2312" w:hAnsi="楷体" w:eastAsia="仿宋_GB2312"/>
          <w:b w:val="0"/>
          <w:color w:val="000000"/>
          <w:spacing w:val="-4"/>
          <w:sz w:val="32"/>
          <w:szCs w:val="32"/>
        </w:rPr>
        <w:t>境内外</w:t>
      </w:r>
      <w:r>
        <w:rPr>
          <w:rStyle w:val="19"/>
          <w:rFonts w:ascii="仿宋_GB2312" w:hAnsi="楷体" w:eastAsia="仿宋_GB2312"/>
          <w:b w:val="0"/>
          <w:color w:val="000000"/>
          <w:spacing w:val="-4"/>
          <w:sz w:val="32"/>
          <w:szCs w:val="32"/>
        </w:rPr>
        <w:t>经贸交流工作、业务工作会议和调研工作</w:t>
      </w:r>
      <w:r>
        <w:rPr>
          <w:rStyle w:val="19"/>
          <w:rFonts w:hint="eastAsia" w:ascii="仿宋_GB2312" w:hAnsi="楷体" w:eastAsia="仿宋_GB2312"/>
          <w:b w:val="0"/>
          <w:color w:val="000000"/>
          <w:spacing w:val="-4"/>
          <w:sz w:val="32"/>
          <w:szCs w:val="32"/>
        </w:rPr>
        <w:t>。</w:t>
      </w:r>
    </w:p>
    <w:p>
      <w:pPr>
        <w:pStyle w:val="47"/>
        <w:spacing w:line="540" w:lineRule="exact"/>
        <w:ind w:firstLine="608"/>
        <w:rPr>
          <w:rStyle w:val="19"/>
          <w:color w:val="000000"/>
          <w:spacing w:val="-4"/>
        </w:rPr>
      </w:pPr>
      <w:r>
        <w:rPr>
          <w:rFonts w:hint="eastAsia" w:ascii="仿宋_GB2312" w:hAnsi="仿宋_GB2312" w:eastAsia="仿宋_GB2312" w:cs="仿宋_GB2312"/>
          <w:color w:val="000000"/>
          <w:sz w:val="32"/>
          <w:szCs w:val="32"/>
        </w:rPr>
        <w:t>绩效评价的范围：</w:t>
      </w:r>
      <w:r>
        <w:rPr>
          <w:rStyle w:val="19"/>
          <w:rFonts w:hint="eastAsia" w:ascii="仿宋_GB2312" w:hAnsi="楷体" w:eastAsia="仿宋_GB2312"/>
          <w:b w:val="0"/>
          <w:color w:val="000000"/>
          <w:spacing w:val="-4"/>
          <w:sz w:val="32"/>
          <w:szCs w:val="32"/>
        </w:rPr>
        <w:t>参加博览会、展会、贸促业务会及调研批次</w:t>
      </w:r>
      <w:r>
        <w:rPr>
          <w:rFonts w:hint="eastAsia" w:ascii="仿宋_GB2312" w:hAnsi="仿宋_GB2312" w:eastAsia="仿宋_GB2312" w:cs="仿宋_GB2312"/>
          <w:color w:val="000000"/>
          <w:sz w:val="32"/>
          <w:szCs w:val="32"/>
        </w:rPr>
        <w:t>、办公系统软硬件运维数量、业务工作会议及调研工作完成率、</w:t>
      </w:r>
      <w:r>
        <w:rPr>
          <w:rStyle w:val="19"/>
          <w:rFonts w:hint="eastAsia" w:ascii="仿宋_GB2312" w:hAnsi="楷体" w:eastAsia="仿宋_GB2312"/>
          <w:b w:val="0"/>
          <w:color w:val="000000"/>
          <w:spacing w:val="-4"/>
          <w:sz w:val="32"/>
          <w:szCs w:val="32"/>
        </w:rPr>
        <w:t>业务</w:t>
      </w:r>
      <w:r>
        <w:rPr>
          <w:rStyle w:val="19"/>
          <w:rFonts w:hint="eastAsia" w:ascii="仿宋_GB2312" w:hAnsi="仿宋_GB2312" w:eastAsia="仿宋_GB2312" w:cs="仿宋_GB2312"/>
          <w:b w:val="0"/>
          <w:bCs w:val="0"/>
          <w:color w:val="000000"/>
          <w:spacing w:val="-4"/>
          <w:sz w:val="32"/>
          <w:szCs w:val="32"/>
        </w:rPr>
        <w:t>系统故障率等</w:t>
      </w:r>
      <w:r>
        <w:rPr>
          <w:rStyle w:val="19"/>
          <w:rFonts w:ascii="仿宋_GB2312" w:hAnsi="仿宋_GB2312" w:eastAsia="仿宋_GB2312" w:cs="仿宋_GB2312"/>
          <w:b w:val="0"/>
          <w:bCs w:val="0"/>
          <w:color w:val="000000"/>
          <w:spacing w:val="-4"/>
          <w:sz w:val="32"/>
          <w:szCs w:val="32"/>
        </w:rPr>
        <w:t>。</w:t>
      </w:r>
    </w:p>
    <w:p>
      <w:pPr>
        <w:spacing w:line="540" w:lineRule="exact"/>
        <w:ind w:firstLine="567" w:firstLineChars="181"/>
        <w:rPr>
          <w:rStyle w:val="19"/>
          <w:rFonts w:ascii="楷体" w:hAnsi="楷体" w:eastAsia="楷体"/>
          <w:color w:val="000000"/>
          <w:spacing w:val="-4"/>
          <w:sz w:val="32"/>
          <w:szCs w:val="32"/>
        </w:rPr>
      </w:pPr>
      <w:r>
        <w:rPr>
          <w:rStyle w:val="19"/>
          <w:rFonts w:hint="eastAsia" w:ascii="楷体" w:hAnsi="楷体" w:eastAsia="楷体"/>
          <w:color w:val="000000"/>
          <w:spacing w:val="-4"/>
          <w:sz w:val="32"/>
          <w:szCs w:val="32"/>
        </w:rPr>
        <w:t>（二）绩效评价原则、评价指标体系（附表说明）、评价方法、评价标准等。</w:t>
      </w: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1、绩效评价原则</w:t>
      </w: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（一）科学公正。绩效评价应当运用科学合理的方法，按照规范的程序，对项目绩效进行客观、公正的反映。</w:t>
      </w: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（二）统筹兼顾。单位自评、部门评价和财政评价应职责明确，各有侧重，相互衔接。单位自评应由项目单位自主实施，即“谁支出、谁自评”。</w:t>
      </w: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（三）激励约束。绩效评价结果应与预算安排、政策调整、改进管理实质性挂钩，体现奖优罚劣和激励相容导向，有效要安排、低效要压减、无效要问责。</w:t>
      </w: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（四）公开透明。绩效评价结果应依法依规公开，并自觉接受社会监督。</w:t>
      </w: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2、评价指标体系</w:t>
      </w:r>
    </w:p>
    <w:tbl>
      <w:tblPr>
        <w:tblStyle w:val="17"/>
        <w:tblW w:w="8140" w:type="dxa"/>
        <w:tblInd w:w="93" w:type="dxa"/>
        <w:tblLayout w:type="autofit"/>
        <w:tblCellMar>
          <w:top w:w="0" w:type="dxa"/>
          <w:left w:w="108" w:type="dxa"/>
          <w:bottom w:w="0" w:type="dxa"/>
          <w:right w:w="108" w:type="dxa"/>
        </w:tblCellMar>
      </w:tblPr>
      <w:tblGrid>
        <w:gridCol w:w="1080"/>
        <w:gridCol w:w="1080"/>
        <w:gridCol w:w="500"/>
        <w:gridCol w:w="840"/>
        <w:gridCol w:w="1780"/>
        <w:gridCol w:w="860"/>
        <w:gridCol w:w="80"/>
        <w:gridCol w:w="1080"/>
        <w:gridCol w:w="840"/>
      </w:tblGrid>
      <w:tr>
        <w:tblPrEx>
          <w:tblCellMar>
            <w:top w:w="0" w:type="dxa"/>
            <w:left w:w="108" w:type="dxa"/>
            <w:bottom w:w="0" w:type="dxa"/>
            <w:right w:w="108" w:type="dxa"/>
          </w:tblCellMar>
        </w:tblPrEx>
        <w:trPr>
          <w:trHeight w:val="405" w:hRule="atLeast"/>
        </w:trPr>
        <w:tc>
          <w:tcPr>
            <w:tcW w:w="8140" w:type="dxa"/>
            <w:gridSpan w:val="9"/>
            <w:tcBorders>
              <w:top w:val="nil"/>
              <w:left w:val="nil"/>
              <w:bottom w:val="nil"/>
              <w:right w:val="nil"/>
            </w:tcBorders>
            <w:noWrap/>
            <w:vAlign w:val="center"/>
          </w:tcPr>
          <w:p>
            <w:pPr>
              <w:widowControl/>
              <w:jc w:val="center"/>
              <w:rPr>
                <w:rFonts w:ascii="宋体" w:hAnsi="宋体" w:cs="宋体"/>
                <w:b/>
                <w:bCs/>
                <w:color w:val="000000"/>
                <w:kern w:val="0"/>
                <w:sz w:val="32"/>
                <w:szCs w:val="32"/>
              </w:rPr>
            </w:pPr>
            <w:r>
              <w:rPr>
                <w:rFonts w:hint="eastAsia" w:ascii="宋体" w:hAnsi="宋体" w:cs="宋体"/>
                <w:b/>
                <w:bCs/>
                <w:color w:val="000000"/>
                <w:kern w:val="0"/>
                <w:sz w:val="32"/>
                <w:szCs w:val="32"/>
              </w:rPr>
              <w:t>项  目  支  出  绩  效  目  标  表</w:t>
            </w:r>
          </w:p>
        </w:tc>
      </w:tr>
      <w:tr>
        <w:tblPrEx>
          <w:tblCellMar>
            <w:top w:w="0" w:type="dxa"/>
            <w:left w:w="108" w:type="dxa"/>
            <w:bottom w:w="0" w:type="dxa"/>
            <w:right w:w="108" w:type="dxa"/>
          </w:tblCellMar>
        </w:tblPrEx>
        <w:trPr>
          <w:trHeight w:val="405" w:hRule="atLeast"/>
        </w:trPr>
        <w:tc>
          <w:tcPr>
            <w:tcW w:w="8140" w:type="dxa"/>
            <w:gridSpan w:val="9"/>
            <w:tcBorders>
              <w:top w:val="nil"/>
              <w:left w:val="nil"/>
              <w:bottom w:val="nil"/>
              <w:right w:val="nil"/>
            </w:tcBorders>
            <w:noWrap w:val="0"/>
            <w:vAlign w:val="center"/>
          </w:tcPr>
          <w:p>
            <w:pPr>
              <w:widowControl/>
              <w:jc w:val="center"/>
              <w:rPr>
                <w:rFonts w:ascii="宋体" w:hAnsi="宋体" w:cs="宋体"/>
                <w:b/>
                <w:bCs/>
                <w:color w:val="000000"/>
                <w:kern w:val="0"/>
                <w:sz w:val="32"/>
                <w:szCs w:val="32"/>
              </w:rPr>
            </w:pPr>
          </w:p>
        </w:tc>
      </w:tr>
      <w:tr>
        <w:tblPrEx>
          <w:tblCellMar>
            <w:top w:w="0" w:type="dxa"/>
            <w:left w:w="108" w:type="dxa"/>
            <w:bottom w:w="0" w:type="dxa"/>
            <w:right w:w="108" w:type="dxa"/>
          </w:tblCellMar>
        </w:tblPrEx>
        <w:trPr>
          <w:trHeight w:val="480" w:hRule="atLeast"/>
        </w:trPr>
        <w:tc>
          <w:tcPr>
            <w:tcW w:w="1080" w:type="dxa"/>
            <w:tcBorders>
              <w:top w:val="single" w:color="auto" w:sz="4" w:space="0"/>
              <w:left w:val="single" w:color="auto" w:sz="4" w:space="0"/>
              <w:bottom w:val="single" w:color="000000" w:sz="4" w:space="0"/>
              <w:right w:val="single" w:color="000000" w:sz="4" w:space="0"/>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预算单位</w:t>
            </w:r>
          </w:p>
        </w:tc>
        <w:tc>
          <w:tcPr>
            <w:tcW w:w="4200" w:type="dxa"/>
            <w:gridSpan w:val="4"/>
            <w:tcBorders>
              <w:top w:val="single" w:color="auto" w:sz="4" w:space="0"/>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中国国际贸易促进委员会新疆维吾尔自治区委员会</w:t>
            </w:r>
          </w:p>
        </w:tc>
        <w:tc>
          <w:tcPr>
            <w:tcW w:w="860" w:type="dxa"/>
            <w:tcBorders>
              <w:top w:val="single" w:color="auto" w:sz="4" w:space="0"/>
              <w:left w:val="nil"/>
              <w:bottom w:val="single" w:color="000000" w:sz="4" w:space="0"/>
              <w:right w:val="single" w:color="000000" w:sz="4" w:space="0"/>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2000" w:type="dxa"/>
            <w:gridSpan w:val="3"/>
            <w:tcBorders>
              <w:top w:val="single" w:color="auto" w:sz="4" w:space="0"/>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贸促会各项业务费</w:t>
            </w:r>
          </w:p>
        </w:tc>
      </w:tr>
      <w:tr>
        <w:tblPrEx>
          <w:tblCellMar>
            <w:top w:w="0" w:type="dxa"/>
            <w:left w:w="108" w:type="dxa"/>
            <w:bottom w:w="0" w:type="dxa"/>
            <w:right w:w="108" w:type="dxa"/>
          </w:tblCellMar>
        </w:tblPrEx>
        <w:trPr>
          <w:trHeight w:val="645" w:hRule="atLeast"/>
        </w:trPr>
        <w:tc>
          <w:tcPr>
            <w:tcW w:w="1080" w:type="dxa"/>
            <w:tcBorders>
              <w:top w:val="nil"/>
              <w:left w:val="single" w:color="auto" w:sz="4" w:space="0"/>
              <w:bottom w:val="single" w:color="000000" w:sz="4" w:space="0"/>
              <w:right w:val="single" w:color="000000" w:sz="4" w:space="0"/>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项目资金（万元）</w:t>
            </w:r>
          </w:p>
        </w:tc>
        <w:tc>
          <w:tcPr>
            <w:tcW w:w="1580"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年度资金总额：</w:t>
            </w:r>
          </w:p>
        </w:tc>
        <w:tc>
          <w:tcPr>
            <w:tcW w:w="840" w:type="dxa"/>
            <w:tcBorders>
              <w:top w:val="nil"/>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84.00 </w:t>
            </w:r>
          </w:p>
        </w:tc>
        <w:tc>
          <w:tcPr>
            <w:tcW w:w="1780" w:type="dxa"/>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其中：财政拨款</w:t>
            </w:r>
          </w:p>
        </w:tc>
        <w:tc>
          <w:tcPr>
            <w:tcW w:w="860" w:type="dxa"/>
            <w:tcBorders>
              <w:top w:val="nil"/>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84.00 </w:t>
            </w:r>
          </w:p>
        </w:tc>
        <w:tc>
          <w:tcPr>
            <w:tcW w:w="1160"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其他资金</w:t>
            </w:r>
          </w:p>
        </w:tc>
        <w:tc>
          <w:tcPr>
            <w:tcW w:w="840" w:type="dxa"/>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0.00 </w:t>
            </w:r>
          </w:p>
        </w:tc>
      </w:tr>
      <w:tr>
        <w:tblPrEx>
          <w:tblCellMar>
            <w:top w:w="0" w:type="dxa"/>
            <w:left w:w="108" w:type="dxa"/>
            <w:bottom w:w="0" w:type="dxa"/>
            <w:right w:w="108" w:type="dxa"/>
          </w:tblCellMar>
        </w:tblPrEx>
        <w:trPr>
          <w:trHeight w:val="2220" w:hRule="atLeast"/>
        </w:trPr>
        <w:tc>
          <w:tcPr>
            <w:tcW w:w="1080" w:type="dxa"/>
            <w:tcBorders>
              <w:top w:val="nil"/>
              <w:left w:val="single" w:color="auto" w:sz="4" w:space="0"/>
              <w:bottom w:val="single" w:color="000000" w:sz="4" w:space="0"/>
              <w:right w:val="single" w:color="000000" w:sz="4" w:space="0"/>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项目总体目标</w:t>
            </w:r>
          </w:p>
        </w:tc>
        <w:tc>
          <w:tcPr>
            <w:tcW w:w="7060" w:type="dxa"/>
            <w:gridSpan w:val="8"/>
            <w:tcBorders>
              <w:top w:val="single" w:color="000000" w:sz="4" w:space="0"/>
              <w:left w:val="nil"/>
              <w:bottom w:val="single" w:color="000000" w:sz="4" w:space="0"/>
              <w:right w:val="single" w:color="000000" w:sz="4" w:space="0"/>
            </w:tcBorders>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通过参加博览会、展会、贸促业务会、高访团及接待境外工商会代表团等活动，有效提高单位工作人员的政治素质及业务工作能力;通过开展与世界各国，特别是周边国家经贸交流合作，拓展对外联系，推介新疆投资环境，展示新疆社会经济发展状况，促进我区会展经济的健康发展，构建多双边合作机制，切实增强贸促服务的能力，提升政府服务企业的效果，促进与周边国家政府和民间的交流交往，为企业提供更多交流合作的机会，充分发挥新疆贸促会在“一带一路”核心区建设中的重要作用。为贯彻落实社会稳定和长治久安总目标，积极做好“访惠聚”各项工作的经费和后期保障工作。</w:t>
            </w:r>
          </w:p>
        </w:tc>
      </w:tr>
      <w:tr>
        <w:tblPrEx>
          <w:tblCellMar>
            <w:top w:w="0" w:type="dxa"/>
            <w:left w:w="108" w:type="dxa"/>
            <w:bottom w:w="0" w:type="dxa"/>
            <w:right w:w="108" w:type="dxa"/>
          </w:tblCellMar>
        </w:tblPrEx>
        <w:trPr>
          <w:trHeight w:val="750" w:hRule="atLeast"/>
        </w:trPr>
        <w:tc>
          <w:tcPr>
            <w:tcW w:w="1080" w:type="dxa"/>
            <w:tcBorders>
              <w:top w:val="nil"/>
              <w:left w:val="single" w:color="auto" w:sz="4" w:space="0"/>
              <w:bottom w:val="single" w:color="000000" w:sz="4" w:space="0"/>
              <w:right w:val="single" w:color="000000" w:sz="4" w:space="0"/>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一级指标</w:t>
            </w:r>
          </w:p>
        </w:tc>
        <w:tc>
          <w:tcPr>
            <w:tcW w:w="1080" w:type="dxa"/>
            <w:tcBorders>
              <w:top w:val="nil"/>
              <w:left w:val="nil"/>
              <w:bottom w:val="single" w:color="000000" w:sz="4" w:space="0"/>
              <w:right w:val="single" w:color="000000" w:sz="4" w:space="0"/>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二级指标</w:t>
            </w:r>
          </w:p>
        </w:tc>
        <w:tc>
          <w:tcPr>
            <w:tcW w:w="4060" w:type="dxa"/>
            <w:gridSpan w:val="5"/>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三级指标</w:t>
            </w:r>
          </w:p>
        </w:tc>
        <w:tc>
          <w:tcPr>
            <w:tcW w:w="1920"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指标值（包含数字及文字描述）</w:t>
            </w:r>
          </w:p>
        </w:tc>
      </w:tr>
      <w:tr>
        <w:tblPrEx>
          <w:tblCellMar>
            <w:top w:w="0" w:type="dxa"/>
            <w:left w:w="108" w:type="dxa"/>
            <w:bottom w:w="0" w:type="dxa"/>
            <w:right w:w="108" w:type="dxa"/>
          </w:tblCellMar>
        </w:tblPrEx>
        <w:trPr>
          <w:trHeight w:val="495" w:hRule="atLeast"/>
        </w:trPr>
        <w:tc>
          <w:tcPr>
            <w:tcW w:w="1080" w:type="dxa"/>
            <w:vMerge w:val="restart"/>
            <w:tcBorders>
              <w:top w:val="nil"/>
              <w:left w:val="single" w:color="auto" w:sz="4" w:space="0"/>
              <w:bottom w:val="single" w:color="000000" w:sz="4" w:space="0"/>
              <w:right w:val="single" w:color="000000"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1080" w:type="dxa"/>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4060" w:type="dxa"/>
            <w:gridSpan w:val="5"/>
            <w:tcBorders>
              <w:top w:val="single" w:color="000000" w:sz="4" w:space="0"/>
              <w:left w:val="nil"/>
              <w:bottom w:val="single" w:color="000000" w:sz="4" w:space="0"/>
              <w:right w:val="single" w:color="000000" w:sz="4" w:space="0"/>
            </w:tcBorders>
            <w:shd w:val="clear" w:color="000000" w:fill="FFFFFF"/>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参加博览会、展会、贸促业务会及调研批次</w:t>
            </w:r>
          </w:p>
        </w:tc>
        <w:tc>
          <w:tcPr>
            <w:tcW w:w="1920"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&gt;=18批次</w:t>
            </w:r>
          </w:p>
        </w:tc>
      </w:tr>
      <w:tr>
        <w:tblPrEx>
          <w:tblCellMar>
            <w:top w:w="0" w:type="dxa"/>
            <w:left w:w="108" w:type="dxa"/>
            <w:bottom w:w="0" w:type="dxa"/>
            <w:right w:w="108" w:type="dxa"/>
          </w:tblCellMar>
        </w:tblPrEx>
        <w:trPr>
          <w:trHeight w:val="495" w:hRule="atLeast"/>
        </w:trPr>
        <w:tc>
          <w:tcPr>
            <w:tcW w:w="1080" w:type="dxa"/>
            <w:vMerge w:val="continue"/>
            <w:tcBorders>
              <w:top w:val="nil"/>
              <w:left w:val="single" w:color="auto" w:sz="4" w:space="0"/>
              <w:bottom w:val="single" w:color="000000" w:sz="4" w:space="0"/>
              <w:right w:val="single" w:color="000000" w:sz="4" w:space="0"/>
            </w:tcBorders>
            <w:shd w:val="clear" w:color="auto" w:fill="auto"/>
            <w:noWrap w:val="0"/>
            <w:vAlign w:val="center"/>
          </w:tcPr>
          <w:p>
            <w:pPr>
              <w:widowControl/>
              <w:jc w:val="left"/>
              <w:rPr>
                <w:rFonts w:ascii="宋体" w:hAnsi="宋体" w:cs="宋体"/>
                <w:color w:val="000000"/>
                <w:kern w:val="0"/>
                <w:sz w:val="18"/>
                <w:szCs w:val="18"/>
              </w:rPr>
            </w:pPr>
          </w:p>
        </w:tc>
        <w:tc>
          <w:tcPr>
            <w:tcW w:w="108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color w:val="000000"/>
                <w:kern w:val="0"/>
                <w:sz w:val="18"/>
                <w:szCs w:val="18"/>
              </w:rPr>
            </w:pPr>
          </w:p>
        </w:tc>
        <w:tc>
          <w:tcPr>
            <w:tcW w:w="4060" w:type="dxa"/>
            <w:gridSpan w:val="5"/>
            <w:tcBorders>
              <w:top w:val="single" w:color="000000" w:sz="4" w:space="0"/>
              <w:left w:val="nil"/>
              <w:bottom w:val="single" w:color="000000" w:sz="4" w:space="0"/>
              <w:right w:val="single" w:color="000000" w:sz="4" w:space="0"/>
            </w:tcBorders>
            <w:shd w:val="clear" w:color="000000" w:fill="FFFFFF"/>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业务系统软硬件运维数量</w:t>
            </w:r>
          </w:p>
        </w:tc>
        <w:tc>
          <w:tcPr>
            <w:tcW w:w="1920"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&gt;=</w:t>
            </w:r>
            <w:r>
              <w:rPr>
                <w:rFonts w:hint="eastAsia" w:ascii="宋体" w:hAnsi="宋体" w:cs="宋体"/>
                <w:color w:val="000000"/>
                <w:kern w:val="0"/>
                <w:sz w:val="18"/>
                <w:szCs w:val="18"/>
                <w:lang w:val="en-US" w:eastAsia="zh-CN"/>
              </w:rPr>
              <w:t>1</w:t>
            </w:r>
            <w:r>
              <w:rPr>
                <w:rFonts w:hint="eastAsia" w:ascii="宋体" w:hAnsi="宋体" w:cs="宋体"/>
                <w:color w:val="000000"/>
                <w:kern w:val="0"/>
                <w:sz w:val="18"/>
                <w:szCs w:val="18"/>
              </w:rPr>
              <w:t>套</w:t>
            </w:r>
          </w:p>
        </w:tc>
      </w:tr>
      <w:tr>
        <w:tblPrEx>
          <w:tblCellMar>
            <w:top w:w="0" w:type="dxa"/>
            <w:left w:w="108" w:type="dxa"/>
            <w:bottom w:w="0" w:type="dxa"/>
            <w:right w:w="108" w:type="dxa"/>
          </w:tblCellMar>
        </w:tblPrEx>
        <w:trPr>
          <w:trHeight w:val="495" w:hRule="atLeast"/>
        </w:trPr>
        <w:tc>
          <w:tcPr>
            <w:tcW w:w="1080" w:type="dxa"/>
            <w:vMerge w:val="continue"/>
            <w:tcBorders>
              <w:top w:val="nil"/>
              <w:left w:val="single" w:color="auto" w:sz="4" w:space="0"/>
              <w:bottom w:val="single" w:color="000000" w:sz="4" w:space="0"/>
              <w:right w:val="single" w:color="000000" w:sz="4" w:space="0"/>
            </w:tcBorders>
            <w:shd w:val="clear" w:color="auto" w:fill="auto"/>
            <w:noWrap w:val="0"/>
            <w:vAlign w:val="center"/>
          </w:tcPr>
          <w:p>
            <w:pPr>
              <w:widowControl/>
              <w:jc w:val="left"/>
              <w:rPr>
                <w:rFonts w:ascii="宋体" w:hAnsi="宋体" w:cs="宋体"/>
                <w:color w:val="000000"/>
                <w:kern w:val="0"/>
                <w:sz w:val="18"/>
                <w:szCs w:val="18"/>
              </w:rPr>
            </w:pPr>
          </w:p>
        </w:tc>
        <w:tc>
          <w:tcPr>
            <w:tcW w:w="1080" w:type="dxa"/>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4060" w:type="dxa"/>
            <w:gridSpan w:val="5"/>
            <w:tcBorders>
              <w:top w:val="single" w:color="000000" w:sz="4" w:space="0"/>
              <w:left w:val="nil"/>
              <w:bottom w:val="single" w:color="000000" w:sz="4" w:space="0"/>
              <w:right w:val="single" w:color="000000" w:sz="4" w:space="0"/>
            </w:tcBorders>
            <w:shd w:val="clear" w:color="000000" w:fill="FFFFFF"/>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业务工作会议及调研工作完成率</w:t>
            </w:r>
          </w:p>
        </w:tc>
        <w:tc>
          <w:tcPr>
            <w:tcW w:w="1920"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&gt;=</w:t>
            </w:r>
            <w:r>
              <w:rPr>
                <w:rFonts w:hint="eastAsia" w:ascii="宋体" w:hAnsi="宋体" w:cs="宋体"/>
                <w:color w:val="000000"/>
                <w:kern w:val="0"/>
                <w:sz w:val="18"/>
                <w:szCs w:val="18"/>
                <w:lang w:val="en-US" w:eastAsia="zh-CN"/>
              </w:rPr>
              <w:t>10</w:t>
            </w:r>
            <w:r>
              <w:rPr>
                <w:rFonts w:hint="eastAsia" w:ascii="宋体" w:hAnsi="宋体" w:cs="宋体"/>
                <w:color w:val="000000"/>
                <w:kern w:val="0"/>
                <w:sz w:val="18"/>
                <w:szCs w:val="18"/>
              </w:rPr>
              <w:t>0%</w:t>
            </w:r>
          </w:p>
        </w:tc>
      </w:tr>
      <w:tr>
        <w:tblPrEx>
          <w:tblCellMar>
            <w:top w:w="0" w:type="dxa"/>
            <w:left w:w="108" w:type="dxa"/>
            <w:bottom w:w="0" w:type="dxa"/>
            <w:right w:w="108" w:type="dxa"/>
          </w:tblCellMar>
        </w:tblPrEx>
        <w:trPr>
          <w:trHeight w:val="659" w:hRule="atLeast"/>
        </w:trPr>
        <w:tc>
          <w:tcPr>
            <w:tcW w:w="1080" w:type="dxa"/>
            <w:vMerge w:val="continue"/>
            <w:tcBorders>
              <w:top w:val="nil"/>
              <w:left w:val="single" w:color="auto" w:sz="4" w:space="0"/>
              <w:bottom w:val="single" w:color="000000" w:sz="4" w:space="0"/>
              <w:right w:val="single" w:color="000000" w:sz="4" w:space="0"/>
            </w:tcBorders>
            <w:shd w:val="clear" w:color="auto" w:fill="auto"/>
            <w:noWrap w:val="0"/>
            <w:vAlign w:val="center"/>
          </w:tcPr>
          <w:p>
            <w:pPr>
              <w:widowControl/>
              <w:jc w:val="left"/>
              <w:rPr>
                <w:rFonts w:ascii="宋体" w:hAnsi="宋体" w:cs="宋体"/>
                <w:color w:val="000000"/>
                <w:kern w:val="0"/>
                <w:sz w:val="18"/>
                <w:szCs w:val="18"/>
              </w:rPr>
            </w:pPr>
          </w:p>
        </w:tc>
        <w:tc>
          <w:tcPr>
            <w:tcW w:w="108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color w:val="000000"/>
                <w:kern w:val="0"/>
                <w:sz w:val="18"/>
                <w:szCs w:val="18"/>
              </w:rPr>
            </w:pPr>
          </w:p>
        </w:tc>
        <w:tc>
          <w:tcPr>
            <w:tcW w:w="4060" w:type="dxa"/>
            <w:gridSpan w:val="5"/>
            <w:tcBorders>
              <w:top w:val="single" w:color="000000" w:sz="4" w:space="0"/>
              <w:left w:val="nil"/>
              <w:bottom w:val="single" w:color="000000" w:sz="4" w:space="0"/>
              <w:right w:val="single" w:color="000000" w:sz="4" w:space="0"/>
            </w:tcBorders>
            <w:shd w:val="clear" w:color="000000" w:fill="FFFFFF"/>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业务系统故障率</w:t>
            </w:r>
          </w:p>
        </w:tc>
        <w:tc>
          <w:tcPr>
            <w:tcW w:w="1920"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&lt;=15%</w:t>
            </w:r>
          </w:p>
        </w:tc>
      </w:tr>
      <w:tr>
        <w:tblPrEx>
          <w:tblCellMar>
            <w:top w:w="0" w:type="dxa"/>
            <w:left w:w="108" w:type="dxa"/>
            <w:bottom w:w="0" w:type="dxa"/>
            <w:right w:w="108" w:type="dxa"/>
          </w:tblCellMar>
        </w:tblPrEx>
        <w:trPr>
          <w:trHeight w:val="990" w:hRule="atLeast"/>
        </w:trPr>
        <w:tc>
          <w:tcPr>
            <w:tcW w:w="1080" w:type="dxa"/>
            <w:vMerge w:val="continue"/>
            <w:tcBorders>
              <w:top w:val="nil"/>
              <w:left w:val="single" w:color="auto" w:sz="4" w:space="0"/>
              <w:bottom w:val="single" w:color="000000" w:sz="4" w:space="0"/>
              <w:right w:val="single" w:color="000000" w:sz="4" w:space="0"/>
            </w:tcBorders>
            <w:shd w:val="clear" w:color="auto" w:fill="auto"/>
            <w:noWrap w:val="0"/>
            <w:vAlign w:val="center"/>
          </w:tcPr>
          <w:p>
            <w:pPr>
              <w:widowControl/>
              <w:jc w:val="left"/>
              <w:rPr>
                <w:rFonts w:ascii="宋体" w:hAnsi="宋体" w:cs="宋体"/>
                <w:color w:val="000000"/>
                <w:kern w:val="0"/>
                <w:sz w:val="18"/>
                <w:szCs w:val="18"/>
              </w:rPr>
            </w:pPr>
          </w:p>
        </w:tc>
        <w:tc>
          <w:tcPr>
            <w:tcW w:w="1080" w:type="dxa"/>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4060" w:type="dxa"/>
            <w:gridSpan w:val="5"/>
            <w:tcBorders>
              <w:top w:val="single" w:color="000000" w:sz="4" w:space="0"/>
              <w:left w:val="nil"/>
              <w:right w:val="single" w:color="000000" w:sz="4" w:space="0"/>
            </w:tcBorders>
            <w:shd w:val="clear" w:color="000000" w:fill="FFFFFF"/>
            <w:noWrap w:val="0"/>
            <w:vAlign w:val="center"/>
          </w:tcPr>
          <w:p>
            <w:pPr>
              <w:widowControl/>
              <w:jc w:val="left"/>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系统故障修复处理时间</w:t>
            </w:r>
          </w:p>
        </w:tc>
        <w:tc>
          <w:tcPr>
            <w:tcW w:w="1920"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&lt;=3天</w:t>
            </w:r>
          </w:p>
        </w:tc>
      </w:tr>
      <w:tr>
        <w:tblPrEx>
          <w:tblCellMar>
            <w:top w:w="0" w:type="dxa"/>
            <w:left w:w="108" w:type="dxa"/>
            <w:bottom w:w="0" w:type="dxa"/>
            <w:right w:w="108" w:type="dxa"/>
          </w:tblCellMar>
        </w:tblPrEx>
        <w:trPr>
          <w:trHeight w:val="495" w:hRule="atLeast"/>
        </w:trPr>
        <w:tc>
          <w:tcPr>
            <w:tcW w:w="1080" w:type="dxa"/>
            <w:vMerge w:val="continue"/>
            <w:tcBorders>
              <w:top w:val="nil"/>
              <w:left w:val="single" w:color="auto" w:sz="4" w:space="0"/>
              <w:bottom w:val="single" w:color="000000" w:sz="4" w:space="0"/>
              <w:right w:val="single" w:color="000000" w:sz="4" w:space="0"/>
            </w:tcBorders>
            <w:shd w:val="clear" w:color="auto" w:fill="auto"/>
            <w:noWrap w:val="0"/>
            <w:vAlign w:val="center"/>
          </w:tcPr>
          <w:p>
            <w:pPr>
              <w:widowControl/>
              <w:jc w:val="left"/>
              <w:rPr>
                <w:rFonts w:ascii="宋体" w:hAnsi="宋体" w:cs="宋体"/>
                <w:color w:val="000000"/>
                <w:kern w:val="0"/>
                <w:sz w:val="18"/>
                <w:szCs w:val="18"/>
              </w:rPr>
            </w:pPr>
          </w:p>
        </w:tc>
        <w:tc>
          <w:tcPr>
            <w:tcW w:w="108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color w:val="000000"/>
                <w:kern w:val="0"/>
                <w:sz w:val="18"/>
                <w:szCs w:val="18"/>
              </w:rPr>
            </w:pPr>
          </w:p>
        </w:tc>
        <w:tc>
          <w:tcPr>
            <w:tcW w:w="4060" w:type="dxa"/>
            <w:gridSpan w:val="5"/>
            <w:tcBorders>
              <w:top w:val="single" w:color="000000" w:sz="4" w:space="0"/>
              <w:left w:val="nil"/>
              <w:bottom w:val="single" w:color="000000" w:sz="4" w:space="0"/>
              <w:right w:val="single" w:color="000000" w:sz="4" w:space="0"/>
            </w:tcBorders>
            <w:shd w:val="clear" w:color="000000" w:fill="FFFFFF"/>
            <w:noWrap w:val="0"/>
            <w:vAlign w:val="center"/>
          </w:tcPr>
          <w:p>
            <w:pPr>
              <w:widowControl/>
              <w:jc w:val="left"/>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系统运行维护响应时间</w:t>
            </w:r>
          </w:p>
        </w:tc>
        <w:tc>
          <w:tcPr>
            <w:tcW w:w="1920"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eastAsia="宋体" w:cs="宋体"/>
                <w:color w:val="000000"/>
                <w:kern w:val="0"/>
                <w:sz w:val="18"/>
                <w:szCs w:val="18"/>
                <w:lang w:val="en-US" w:eastAsia="zh-CN" w:bidi="ar-SA"/>
              </w:rPr>
            </w:pPr>
            <w:r>
              <w:rPr>
                <w:rFonts w:hint="eastAsia" w:ascii="宋体" w:hAnsi="宋体" w:cs="宋体"/>
                <w:color w:val="000000"/>
                <w:kern w:val="0"/>
                <w:sz w:val="18"/>
                <w:szCs w:val="18"/>
              </w:rPr>
              <w:t>&lt;=24小时</w:t>
            </w:r>
          </w:p>
        </w:tc>
      </w:tr>
      <w:tr>
        <w:tblPrEx>
          <w:tblCellMar>
            <w:top w:w="0" w:type="dxa"/>
            <w:left w:w="108" w:type="dxa"/>
            <w:bottom w:w="0" w:type="dxa"/>
            <w:right w:w="108" w:type="dxa"/>
          </w:tblCellMar>
        </w:tblPrEx>
        <w:trPr>
          <w:trHeight w:val="495" w:hRule="atLeast"/>
        </w:trPr>
        <w:tc>
          <w:tcPr>
            <w:tcW w:w="1080" w:type="dxa"/>
            <w:vMerge w:val="continue"/>
            <w:tcBorders>
              <w:top w:val="nil"/>
              <w:left w:val="single" w:color="auto" w:sz="4" w:space="0"/>
              <w:bottom w:val="single" w:color="000000" w:sz="4" w:space="0"/>
              <w:right w:val="single" w:color="000000" w:sz="4" w:space="0"/>
            </w:tcBorders>
            <w:shd w:val="clear" w:color="auto" w:fill="auto"/>
            <w:noWrap w:val="0"/>
            <w:vAlign w:val="center"/>
          </w:tcPr>
          <w:p>
            <w:pPr>
              <w:widowControl/>
              <w:jc w:val="left"/>
              <w:rPr>
                <w:rFonts w:ascii="宋体" w:hAnsi="宋体" w:cs="宋体"/>
                <w:color w:val="000000"/>
                <w:kern w:val="0"/>
                <w:sz w:val="18"/>
                <w:szCs w:val="18"/>
              </w:rPr>
            </w:pPr>
          </w:p>
        </w:tc>
        <w:tc>
          <w:tcPr>
            <w:tcW w:w="1080" w:type="dxa"/>
            <w:vMerge w:val="restart"/>
            <w:tcBorders>
              <w:top w:val="nil"/>
              <w:left w:val="single" w:color="000000" w:sz="4" w:space="0"/>
              <w:bottom w:val="single" w:color="000000" w:sz="4" w:space="0"/>
              <w:right w:val="single" w:color="000000"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4060" w:type="dxa"/>
            <w:gridSpan w:val="5"/>
            <w:tcBorders>
              <w:top w:val="single" w:color="000000" w:sz="4" w:space="0"/>
              <w:left w:val="nil"/>
              <w:bottom w:val="single" w:color="000000" w:sz="4" w:space="0"/>
              <w:right w:val="single" w:color="000000" w:sz="4" w:space="0"/>
            </w:tcBorders>
            <w:shd w:val="clear" w:color="000000" w:fill="FFFFFF"/>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年度维护成本增长率</w:t>
            </w:r>
          </w:p>
        </w:tc>
        <w:tc>
          <w:tcPr>
            <w:tcW w:w="1920"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&lt;=30%</w:t>
            </w:r>
          </w:p>
        </w:tc>
      </w:tr>
      <w:tr>
        <w:tblPrEx>
          <w:tblCellMar>
            <w:top w:w="0" w:type="dxa"/>
            <w:left w:w="108" w:type="dxa"/>
            <w:bottom w:w="0" w:type="dxa"/>
            <w:right w:w="108" w:type="dxa"/>
          </w:tblCellMar>
        </w:tblPrEx>
        <w:trPr>
          <w:trHeight w:val="495" w:hRule="atLeast"/>
        </w:trPr>
        <w:tc>
          <w:tcPr>
            <w:tcW w:w="1080" w:type="dxa"/>
            <w:vMerge w:val="continue"/>
            <w:tcBorders>
              <w:top w:val="nil"/>
              <w:left w:val="single" w:color="auto" w:sz="4" w:space="0"/>
              <w:bottom w:val="single" w:color="000000" w:sz="4" w:space="0"/>
              <w:right w:val="single" w:color="000000" w:sz="4" w:space="0"/>
            </w:tcBorders>
            <w:shd w:val="clear" w:color="auto" w:fill="auto"/>
            <w:noWrap w:val="0"/>
            <w:vAlign w:val="center"/>
          </w:tcPr>
          <w:p>
            <w:pPr>
              <w:widowControl/>
              <w:jc w:val="left"/>
              <w:rPr>
                <w:rFonts w:ascii="宋体" w:hAnsi="宋体" w:cs="宋体"/>
                <w:color w:val="000000"/>
                <w:kern w:val="0"/>
                <w:sz w:val="18"/>
                <w:szCs w:val="18"/>
              </w:rPr>
            </w:pPr>
          </w:p>
        </w:tc>
        <w:tc>
          <w:tcPr>
            <w:tcW w:w="1080" w:type="dxa"/>
            <w:vMerge w:val="continue"/>
            <w:tcBorders>
              <w:top w:val="nil"/>
              <w:left w:val="single" w:color="000000" w:sz="4" w:space="0"/>
              <w:bottom w:val="single" w:color="000000" w:sz="4" w:space="0"/>
              <w:right w:val="single" w:color="000000" w:sz="4" w:space="0"/>
            </w:tcBorders>
            <w:shd w:val="clear" w:color="auto" w:fill="auto"/>
            <w:noWrap w:val="0"/>
            <w:vAlign w:val="center"/>
          </w:tcPr>
          <w:p>
            <w:pPr>
              <w:widowControl/>
              <w:jc w:val="left"/>
              <w:rPr>
                <w:rFonts w:ascii="宋体" w:hAnsi="宋体" w:cs="宋体"/>
                <w:color w:val="000000"/>
                <w:kern w:val="0"/>
                <w:sz w:val="18"/>
                <w:szCs w:val="18"/>
              </w:rPr>
            </w:pPr>
          </w:p>
        </w:tc>
        <w:tc>
          <w:tcPr>
            <w:tcW w:w="4060" w:type="dxa"/>
            <w:gridSpan w:val="5"/>
            <w:tcBorders>
              <w:top w:val="single" w:color="000000" w:sz="4" w:space="0"/>
              <w:left w:val="nil"/>
              <w:bottom w:val="single" w:color="000000" w:sz="4" w:space="0"/>
              <w:right w:val="single" w:color="000000" w:sz="4" w:space="0"/>
            </w:tcBorders>
            <w:shd w:val="clear" w:color="000000" w:fill="FFFFFF"/>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项目预算控制率</w:t>
            </w:r>
          </w:p>
        </w:tc>
        <w:tc>
          <w:tcPr>
            <w:tcW w:w="1920" w:type="dxa"/>
            <w:gridSpan w:val="2"/>
            <w:tcBorders>
              <w:top w:val="single" w:color="000000" w:sz="4" w:space="0"/>
              <w:left w:val="nil"/>
              <w:bottom w:val="single" w:color="000000"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&lt;=100%</w:t>
            </w:r>
          </w:p>
        </w:tc>
      </w:tr>
      <w:tr>
        <w:tblPrEx>
          <w:tblCellMar>
            <w:top w:w="0" w:type="dxa"/>
            <w:left w:w="108" w:type="dxa"/>
            <w:bottom w:w="0" w:type="dxa"/>
            <w:right w:w="108" w:type="dxa"/>
          </w:tblCellMar>
        </w:tblPrEx>
        <w:trPr>
          <w:trHeight w:val="495" w:hRule="atLeast"/>
        </w:trPr>
        <w:tc>
          <w:tcPr>
            <w:tcW w:w="1080" w:type="dxa"/>
            <w:tcBorders>
              <w:top w:val="nil"/>
              <w:left w:val="single" w:color="auto" w:sz="4" w:space="0"/>
              <w:bottom w:val="single" w:color="000000" w:sz="4" w:space="0"/>
              <w:right w:val="single" w:color="000000"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1080" w:type="dxa"/>
            <w:tcBorders>
              <w:top w:val="nil"/>
              <w:left w:val="nil"/>
              <w:bottom w:val="single" w:color="000000" w:sz="4" w:space="0"/>
              <w:right w:val="single" w:color="000000"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社会效益指标</w:t>
            </w:r>
          </w:p>
        </w:tc>
        <w:tc>
          <w:tcPr>
            <w:tcW w:w="4060" w:type="dxa"/>
            <w:gridSpan w:val="5"/>
            <w:tcBorders>
              <w:top w:val="single" w:color="000000"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提高业务服务能力</w:t>
            </w:r>
          </w:p>
        </w:tc>
        <w:tc>
          <w:tcPr>
            <w:tcW w:w="1920" w:type="dxa"/>
            <w:gridSpan w:val="2"/>
            <w:tcBorders>
              <w:top w:val="single" w:color="000000" w:sz="4" w:space="0"/>
              <w:left w:val="nil"/>
              <w:bottom w:val="single" w:color="auto"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rPr>
              <w:t>明显提高</w:t>
            </w:r>
          </w:p>
        </w:tc>
      </w:tr>
      <w:tr>
        <w:tblPrEx>
          <w:tblCellMar>
            <w:top w:w="0" w:type="dxa"/>
            <w:left w:w="108" w:type="dxa"/>
            <w:bottom w:w="0" w:type="dxa"/>
            <w:right w:w="108" w:type="dxa"/>
          </w:tblCellMar>
        </w:tblPrEx>
        <w:trPr>
          <w:trHeight w:val="495" w:hRule="atLeast"/>
        </w:trPr>
        <w:tc>
          <w:tcPr>
            <w:tcW w:w="1080" w:type="dxa"/>
            <w:tcBorders>
              <w:top w:val="nil"/>
              <w:left w:val="single" w:color="auto" w:sz="4" w:space="0"/>
              <w:bottom w:val="single" w:color="auto" w:sz="4" w:space="0"/>
              <w:right w:val="single" w:color="000000"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1080" w:type="dxa"/>
            <w:tcBorders>
              <w:top w:val="nil"/>
              <w:left w:val="nil"/>
              <w:bottom w:val="single" w:color="auto" w:sz="4" w:space="0"/>
              <w:right w:val="single" w:color="000000" w:sz="4" w:space="0"/>
            </w:tcBorders>
            <w:shd w:val="clear" w:color="auto" w:fill="auto"/>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4060" w:type="dxa"/>
            <w:gridSpan w:val="5"/>
            <w:tcBorders>
              <w:top w:val="single" w:color="000000" w:sz="4" w:space="0"/>
              <w:left w:val="nil"/>
              <w:bottom w:val="single" w:color="auto" w:sz="4" w:space="0"/>
              <w:right w:val="single" w:color="000000" w:sz="4" w:space="0"/>
            </w:tcBorders>
            <w:shd w:val="clear" w:color="000000" w:fill="FFFFFF"/>
            <w:noWrap w:val="0"/>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服务满意度</w:t>
            </w:r>
          </w:p>
        </w:tc>
        <w:tc>
          <w:tcPr>
            <w:tcW w:w="1920" w:type="dxa"/>
            <w:gridSpan w:val="2"/>
            <w:tcBorders>
              <w:top w:val="single" w:color="000000" w:sz="4" w:space="0"/>
              <w:left w:val="nil"/>
              <w:bottom w:val="single" w:color="auto" w:sz="4" w:space="0"/>
              <w:right w:val="single" w:color="000000" w:sz="4" w:space="0"/>
            </w:tcBorders>
            <w:noWrap w:val="0"/>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&gt;=90%</w:t>
            </w:r>
          </w:p>
        </w:tc>
      </w:tr>
    </w:tbl>
    <w:p>
      <w:pPr>
        <w:spacing w:line="540" w:lineRule="exact"/>
        <w:ind w:firstLine="640" w:firstLineChars="200"/>
        <w:rPr>
          <w:rFonts w:ascii="仿宋_GB2312" w:hAnsi="仿宋_GB2312" w:eastAsia="仿宋_GB2312" w:cs="仿宋_GB2312"/>
          <w:color w:val="000000"/>
          <w:sz w:val="32"/>
          <w:szCs w:val="32"/>
        </w:rPr>
      </w:pP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3、评价方法</w:t>
      </w:r>
    </w:p>
    <w:p>
      <w:pPr>
        <w:pStyle w:val="47"/>
        <w:spacing w:line="540" w:lineRule="exact"/>
        <w:ind w:firstLine="608"/>
        <w:rPr>
          <w:rStyle w:val="19"/>
          <w:color w:val="000000"/>
          <w:spacing w:val="-4"/>
        </w:rPr>
      </w:pPr>
      <w:r>
        <w:rPr>
          <w:rFonts w:hint="eastAsia" w:ascii="仿宋_GB2312" w:hAnsi="仿宋_GB2312" w:eastAsia="仿宋_GB2312" w:cs="仿宋_GB2312"/>
          <w:color w:val="000000"/>
          <w:sz w:val="32"/>
          <w:szCs w:val="32"/>
        </w:rPr>
        <w:t>本次项目支出绩效自评采用因素分析法</w:t>
      </w:r>
      <w:r>
        <w:rPr>
          <w:rFonts w:ascii="仿宋_GB2312" w:hAnsi="仿宋_GB2312" w:eastAsia="仿宋_GB2312" w:cs="仿宋_GB2312"/>
          <w:color w:val="000000"/>
          <w:sz w:val="32"/>
          <w:szCs w:val="32"/>
        </w:rPr>
        <w:t>。对</w:t>
      </w:r>
      <w:r>
        <w:rPr>
          <w:rStyle w:val="19"/>
          <w:rFonts w:hint="eastAsia" w:ascii="仿宋_GB2312" w:hAnsi="楷体" w:eastAsia="仿宋_GB2312"/>
          <w:b w:val="0"/>
          <w:color w:val="000000"/>
          <w:spacing w:val="-4"/>
          <w:sz w:val="32"/>
          <w:szCs w:val="32"/>
        </w:rPr>
        <w:t>参加博览会、展会、贸促业务会及调研批次</w:t>
      </w:r>
      <w:r>
        <w:rPr>
          <w:rFonts w:hint="eastAsia" w:ascii="仿宋_GB2312" w:hAnsi="仿宋_GB2312" w:eastAsia="仿宋_GB2312" w:cs="仿宋_GB2312"/>
          <w:color w:val="000000"/>
          <w:sz w:val="32"/>
          <w:szCs w:val="32"/>
        </w:rPr>
        <w:t>、办公系统软硬件运维数量、业务工作会议及调研工作完成率、</w:t>
      </w:r>
      <w:r>
        <w:rPr>
          <w:rStyle w:val="19"/>
          <w:rFonts w:hint="eastAsia" w:ascii="仿宋_GB2312" w:hAnsi="楷体" w:eastAsia="仿宋_GB2312"/>
          <w:b w:val="0"/>
          <w:color w:val="000000"/>
          <w:spacing w:val="-4"/>
          <w:sz w:val="32"/>
          <w:szCs w:val="32"/>
        </w:rPr>
        <w:t>业务</w:t>
      </w:r>
      <w:r>
        <w:rPr>
          <w:rStyle w:val="19"/>
          <w:rFonts w:hint="eastAsia" w:ascii="仿宋_GB2312" w:hAnsi="仿宋_GB2312" w:eastAsia="仿宋_GB2312" w:cs="仿宋_GB2312"/>
          <w:b w:val="0"/>
          <w:bCs w:val="0"/>
          <w:color w:val="000000"/>
          <w:spacing w:val="-4"/>
          <w:sz w:val="32"/>
          <w:szCs w:val="32"/>
        </w:rPr>
        <w:t>系统故障率等等</w:t>
      </w:r>
      <w:r>
        <w:rPr>
          <w:rStyle w:val="19"/>
          <w:rFonts w:ascii="仿宋_GB2312" w:hAnsi="仿宋_GB2312" w:eastAsia="仿宋_GB2312" w:cs="仿宋_GB2312"/>
          <w:b w:val="0"/>
          <w:bCs w:val="0"/>
          <w:color w:val="000000"/>
          <w:spacing w:val="-4"/>
          <w:sz w:val="32"/>
          <w:szCs w:val="32"/>
        </w:rPr>
        <w:t>进行评价</w:t>
      </w:r>
      <w:r>
        <w:rPr>
          <w:rStyle w:val="19"/>
          <w:rFonts w:hint="eastAsia" w:ascii="仿宋_GB2312" w:hAnsi="仿宋_GB2312" w:eastAsia="仿宋_GB2312" w:cs="仿宋_GB2312"/>
          <w:b w:val="0"/>
          <w:bCs w:val="0"/>
          <w:color w:val="000000"/>
          <w:spacing w:val="-4"/>
          <w:sz w:val="32"/>
          <w:szCs w:val="32"/>
        </w:rPr>
        <w:t>，贸促会各项业务费项目更多地体现于社会效益。</w:t>
      </w:r>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4、评价标准</w:t>
      </w:r>
    </w:p>
    <w:p>
      <w:pPr>
        <w:spacing w:line="540" w:lineRule="exact"/>
        <w:ind w:firstLine="6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本次项目支出绩效自评采用计划标准，原因是：年初部门依据工作任务制定并上报了资金支出绩效目标。</w:t>
      </w:r>
    </w:p>
    <w:p>
      <w:pPr>
        <w:spacing w:line="540" w:lineRule="exact"/>
        <w:ind w:firstLine="567" w:firstLineChars="181"/>
        <w:rPr>
          <w:rStyle w:val="19"/>
          <w:rFonts w:ascii="楷体" w:hAnsi="楷体" w:eastAsia="楷体"/>
          <w:color w:val="000000"/>
          <w:spacing w:val="-4"/>
          <w:sz w:val="32"/>
          <w:szCs w:val="32"/>
        </w:rPr>
      </w:pPr>
      <w:r>
        <w:rPr>
          <w:rStyle w:val="19"/>
          <w:rFonts w:hint="eastAsia" w:ascii="楷体" w:hAnsi="楷体" w:eastAsia="楷体"/>
          <w:color w:val="000000"/>
          <w:spacing w:val="-4"/>
          <w:sz w:val="32"/>
          <w:szCs w:val="32"/>
        </w:rPr>
        <w:t>（三）绩效评价工作过程。</w:t>
      </w:r>
    </w:p>
    <w:p>
      <w:pPr>
        <w:spacing w:line="540" w:lineRule="exact"/>
        <w:jc w:val="left"/>
        <w:rPr>
          <w:rStyle w:val="19"/>
          <w:rFonts w:ascii="楷体" w:hAnsi="楷体" w:eastAsia="楷体"/>
          <w:color w:val="000000"/>
          <w:spacing w:val="-4"/>
          <w:sz w:val="32"/>
          <w:szCs w:val="32"/>
        </w:rPr>
      </w:pPr>
      <w:r>
        <w:rPr>
          <w:rFonts w:hint="eastAsia" w:ascii="仿宋_GB2312" w:hAnsi="仿宋_GB2312" w:eastAsia="仿宋_GB2312" w:cs="仿宋_GB2312"/>
          <w:color w:val="000000"/>
          <w:sz w:val="32"/>
          <w:szCs w:val="32"/>
        </w:rPr>
        <w:t xml:space="preserve">    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年，我们按照绩效评价规程要求，将绩效评价工作分为三个阶段：第一阶段，</w:t>
      </w:r>
      <w:r>
        <w:rPr>
          <w:rFonts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年</w:t>
      </w:r>
      <w:r>
        <w:rPr>
          <w:rFonts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rPr>
        <w:t>月对绩效目标完成情况、指标体系内容、评价指标细则、执行进度等进行了阶段性自评并上报自治区报财政厅，业务工作按进度开展，较好地完成了绩效指标；第二阶段，</w:t>
      </w:r>
      <w:r>
        <w:rPr>
          <w:rFonts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年底查阅相关资料和财务凭证，收集资料进行定量定性分析，贸促会各项业务费项目已全面完成，并编写《</w:t>
      </w:r>
      <w:r>
        <w:rPr>
          <w:rFonts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年新疆贸促会全面实施预算绩效管理工作总结》，分别报送自治区党委和政府。第三阶段，根据财政要求，对项目预期目标完成情况、指标体系内容、指标完成值等进行最终自评，项目100%完成。绩效评价工作在前期总体目标设定的基础上，完成绩效评价工作方案，设定绩效评价指标体系、评价标准，明确绩效评价方法、原则。通过目标设定及工作方案顺利完成绩效评价工作。</w:t>
      </w:r>
    </w:p>
    <w:p>
      <w:pPr>
        <w:spacing w:line="540" w:lineRule="exact"/>
        <w:ind w:firstLine="640"/>
        <w:rPr>
          <w:rStyle w:val="19"/>
          <w:rFonts w:ascii="黑体" w:hAnsi="黑体" w:eastAsia="黑体"/>
          <w:b w:val="0"/>
          <w:color w:val="000000"/>
          <w:spacing w:val="-4"/>
          <w:sz w:val="32"/>
          <w:szCs w:val="32"/>
        </w:rPr>
      </w:pPr>
      <w:r>
        <w:rPr>
          <w:rStyle w:val="19"/>
          <w:rFonts w:hint="eastAsia" w:ascii="黑体" w:hAnsi="黑体" w:eastAsia="黑体"/>
          <w:b w:val="0"/>
          <w:color w:val="000000"/>
          <w:spacing w:val="-4"/>
          <w:sz w:val="32"/>
          <w:szCs w:val="32"/>
        </w:rPr>
        <w:t>三、</w:t>
      </w:r>
      <w:r>
        <w:rPr>
          <w:rStyle w:val="19"/>
          <w:rFonts w:hint="eastAsia"/>
          <w:color w:val="000000"/>
          <w:spacing w:val="-4"/>
          <w:sz w:val="32"/>
          <w:szCs w:val="32"/>
        </w:rPr>
        <w:t>综合评价情况及评价结论</w:t>
      </w:r>
    </w:p>
    <w:p>
      <w:pPr>
        <w:pStyle w:val="3"/>
        <w:spacing w:line="540" w:lineRule="exact"/>
        <w:ind w:firstLine="627" w:firstLineChars="200"/>
        <w:rPr>
          <w:rFonts w:ascii="楷体" w:hAnsi="楷体" w:eastAsia="楷体"/>
          <w:bCs w:val="0"/>
          <w:i w:val="0"/>
          <w:iCs w:val="0"/>
          <w:color w:val="000000"/>
          <w:spacing w:val="-4"/>
          <w:kern w:val="2"/>
          <w:sz w:val="32"/>
          <w:szCs w:val="32"/>
        </w:rPr>
      </w:pPr>
      <w:bookmarkStart w:id="0" w:name="_Toc68702120"/>
      <w:r>
        <w:rPr>
          <w:rFonts w:hint="eastAsia" w:ascii="楷体" w:hAnsi="楷体" w:eastAsia="楷体"/>
          <w:bCs w:val="0"/>
          <w:i w:val="0"/>
          <w:iCs w:val="0"/>
          <w:color w:val="000000"/>
          <w:spacing w:val="-4"/>
          <w:kern w:val="2"/>
          <w:sz w:val="32"/>
          <w:szCs w:val="32"/>
        </w:rPr>
        <w:t>（一）综合评价情况</w:t>
      </w:r>
      <w:bookmarkEnd w:id="0"/>
    </w:p>
    <w:p>
      <w:pPr>
        <w:spacing w:line="54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项目严格按照科学公正、统筹兼顾、激励约束、公开透明绩效评价原则，采用因素分析评价方法，坚持计划标准对本项目的立项、绩效目标、资金投入、资金管理、组织实施、产出数量、产出质量、产出时效、产出成本、项目效益进行了综合评价。</w:t>
      </w:r>
    </w:p>
    <w:p>
      <w:pPr>
        <w:spacing w:line="560" w:lineRule="exact"/>
        <w:ind w:firstLine="420" w:firstLineChars="200"/>
        <w:jc w:val="center"/>
        <w:rPr>
          <w:color w:val="000000"/>
        </w:rPr>
      </w:pPr>
      <w:r>
        <w:rPr>
          <w:rFonts w:hint="eastAsia"/>
          <w:color w:val="000000"/>
        </w:rPr>
        <w:t>202</w:t>
      </w:r>
      <w:r>
        <w:rPr>
          <w:rFonts w:hint="eastAsia"/>
          <w:color w:val="000000"/>
          <w:lang w:val="en-US" w:eastAsia="zh-CN"/>
        </w:rPr>
        <w:t>3</w:t>
      </w:r>
      <w:r>
        <w:rPr>
          <w:rFonts w:hint="eastAsia"/>
          <w:color w:val="000000"/>
        </w:rPr>
        <w:t>年贸促会各项业务费绩效自评得分情况</w:t>
      </w:r>
    </w:p>
    <w:tbl>
      <w:tblPr>
        <w:tblStyle w:val="17"/>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noWrap w:val="0"/>
            <w:vAlign w:val="center"/>
          </w:tcPr>
          <w:p>
            <w:pPr>
              <w:spacing w:line="560" w:lineRule="exact"/>
              <w:ind w:firstLine="442" w:firstLineChars="200"/>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noWrap w:val="0"/>
            <w:vAlign w:val="center"/>
          </w:tcPr>
          <w:p>
            <w:pPr>
              <w:spacing w:line="560" w:lineRule="exact"/>
              <w:ind w:firstLine="442" w:firstLineChars="200"/>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noWrap w:val="0"/>
            <w:vAlign w:val="center"/>
          </w:tcPr>
          <w:p>
            <w:pPr>
              <w:spacing w:line="560" w:lineRule="exact"/>
              <w:ind w:firstLine="442" w:firstLineChars="200"/>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pPr>
              <w:spacing w:line="560" w:lineRule="exact"/>
              <w:ind w:firstLine="440" w:firstLineChars="200"/>
              <w:jc w:val="center"/>
              <w:rPr>
                <w:color w:val="000000"/>
                <w:sz w:val="22"/>
              </w:rPr>
            </w:pPr>
            <w:r>
              <w:rPr>
                <w:rFonts w:hint="eastAsia"/>
                <w:color w:val="000000"/>
                <w:sz w:val="22"/>
              </w:rPr>
              <w:t>预算执行</w:t>
            </w:r>
          </w:p>
        </w:tc>
        <w:tc>
          <w:tcPr>
            <w:tcW w:w="2168" w:type="dxa"/>
            <w:tcBorders>
              <w:top w:val="nil"/>
              <w:left w:val="nil"/>
              <w:bottom w:val="single" w:color="auto" w:sz="4" w:space="0"/>
              <w:right w:val="single" w:color="auto" w:sz="4" w:space="0"/>
            </w:tcBorders>
            <w:noWrap w:val="0"/>
            <w:vAlign w:val="center"/>
          </w:tcPr>
          <w:p>
            <w:pPr>
              <w:spacing w:line="560" w:lineRule="exact"/>
              <w:ind w:firstLine="440" w:firstLineChars="200"/>
              <w:jc w:val="center"/>
              <w:rPr>
                <w:rFonts w:eastAsia="仿宋_GB2312"/>
                <w:color w:val="000000"/>
                <w:sz w:val="22"/>
              </w:rPr>
            </w:pPr>
            <w:r>
              <w:rPr>
                <w:rFonts w:hint="eastAsia"/>
                <w:color w:val="000000"/>
                <w:sz w:val="22"/>
              </w:rPr>
              <w:t>10</w:t>
            </w:r>
          </w:p>
        </w:tc>
        <w:tc>
          <w:tcPr>
            <w:tcW w:w="2278" w:type="dxa"/>
            <w:tcBorders>
              <w:top w:val="nil"/>
              <w:left w:val="nil"/>
              <w:bottom w:val="single" w:color="auto" w:sz="4" w:space="0"/>
              <w:right w:val="single" w:color="auto" w:sz="4" w:space="0"/>
            </w:tcBorders>
            <w:noWrap w:val="0"/>
            <w:vAlign w:val="center"/>
          </w:tcPr>
          <w:p>
            <w:pPr>
              <w:spacing w:line="560" w:lineRule="exact"/>
              <w:ind w:firstLine="440" w:firstLineChars="200"/>
              <w:jc w:val="center"/>
              <w:rPr>
                <w:rFonts w:eastAsia="仿宋_GB2312"/>
                <w:color w:val="000000"/>
                <w:sz w:val="22"/>
              </w:rPr>
            </w:pPr>
            <w:r>
              <w:rPr>
                <w:rFonts w:hint="eastAsia"/>
                <w:color w:val="000000"/>
                <w:sz w:val="22"/>
              </w:rPr>
              <w:t>10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pPr>
              <w:spacing w:line="560" w:lineRule="exact"/>
              <w:ind w:firstLine="440" w:firstLineChars="200"/>
              <w:jc w:val="center"/>
              <w:rPr>
                <w:color w:val="000000"/>
                <w:sz w:val="22"/>
              </w:rPr>
            </w:pPr>
            <w:r>
              <w:rPr>
                <w:rFonts w:hint="eastAsia"/>
                <w:color w:val="000000"/>
                <w:sz w:val="22"/>
              </w:rPr>
              <w:t>产出指标</w:t>
            </w:r>
          </w:p>
        </w:tc>
        <w:tc>
          <w:tcPr>
            <w:tcW w:w="2168" w:type="dxa"/>
            <w:tcBorders>
              <w:top w:val="nil"/>
              <w:left w:val="nil"/>
              <w:bottom w:val="single" w:color="auto" w:sz="4" w:space="0"/>
              <w:right w:val="single" w:color="auto" w:sz="4" w:space="0"/>
            </w:tcBorders>
            <w:noWrap w:val="0"/>
            <w:vAlign w:val="center"/>
          </w:tcPr>
          <w:p>
            <w:pPr>
              <w:spacing w:line="560" w:lineRule="exact"/>
              <w:ind w:firstLine="440" w:firstLineChars="200"/>
              <w:jc w:val="center"/>
              <w:rPr>
                <w:rFonts w:eastAsia="仿宋_GB2312"/>
                <w:color w:val="000000"/>
                <w:sz w:val="22"/>
              </w:rPr>
            </w:pPr>
            <w:r>
              <w:rPr>
                <w:rFonts w:hint="eastAsia"/>
                <w:color w:val="000000"/>
                <w:sz w:val="22"/>
              </w:rPr>
              <w:t>50</w:t>
            </w:r>
          </w:p>
        </w:tc>
        <w:tc>
          <w:tcPr>
            <w:tcW w:w="2278" w:type="dxa"/>
            <w:tcBorders>
              <w:top w:val="nil"/>
              <w:left w:val="nil"/>
              <w:bottom w:val="single" w:color="auto" w:sz="4" w:space="0"/>
              <w:right w:val="single" w:color="auto" w:sz="4" w:space="0"/>
            </w:tcBorders>
            <w:noWrap w:val="0"/>
            <w:vAlign w:val="center"/>
          </w:tcPr>
          <w:p>
            <w:pPr>
              <w:spacing w:line="560" w:lineRule="exact"/>
              <w:ind w:firstLine="440" w:firstLineChars="200"/>
              <w:jc w:val="center"/>
              <w:rPr>
                <w:rFonts w:eastAsia="仿宋_GB2312"/>
                <w:color w:val="000000"/>
                <w:sz w:val="22"/>
              </w:rPr>
            </w:pPr>
            <w:r>
              <w:rPr>
                <w:rFonts w:hint="eastAsia"/>
                <w:color w:val="000000"/>
                <w:sz w:val="22"/>
              </w:rPr>
              <w:t>50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pPr>
              <w:spacing w:line="560" w:lineRule="exact"/>
              <w:ind w:firstLine="440" w:firstLineChars="200"/>
              <w:jc w:val="center"/>
              <w:rPr>
                <w:color w:val="000000"/>
                <w:sz w:val="22"/>
              </w:rPr>
            </w:pPr>
            <w:r>
              <w:rPr>
                <w:rFonts w:hint="eastAsia"/>
                <w:color w:val="000000"/>
                <w:sz w:val="22"/>
              </w:rPr>
              <w:t>效益指标</w:t>
            </w:r>
          </w:p>
        </w:tc>
        <w:tc>
          <w:tcPr>
            <w:tcW w:w="2168" w:type="dxa"/>
            <w:tcBorders>
              <w:top w:val="nil"/>
              <w:left w:val="nil"/>
              <w:bottom w:val="single" w:color="auto" w:sz="4" w:space="0"/>
              <w:right w:val="single" w:color="auto" w:sz="4" w:space="0"/>
            </w:tcBorders>
            <w:noWrap w:val="0"/>
            <w:vAlign w:val="center"/>
          </w:tcPr>
          <w:p>
            <w:pPr>
              <w:spacing w:line="560" w:lineRule="exact"/>
              <w:ind w:firstLine="440" w:firstLineChars="200"/>
              <w:jc w:val="center"/>
              <w:rPr>
                <w:rFonts w:eastAsia="仿宋_GB2312"/>
                <w:color w:val="000000"/>
                <w:sz w:val="22"/>
              </w:rPr>
            </w:pPr>
            <w:r>
              <w:rPr>
                <w:rFonts w:hint="eastAsia"/>
                <w:color w:val="000000"/>
                <w:sz w:val="22"/>
              </w:rPr>
              <w:t>30</w:t>
            </w:r>
          </w:p>
        </w:tc>
        <w:tc>
          <w:tcPr>
            <w:tcW w:w="2278" w:type="dxa"/>
            <w:tcBorders>
              <w:top w:val="nil"/>
              <w:left w:val="nil"/>
              <w:bottom w:val="single" w:color="auto" w:sz="4" w:space="0"/>
              <w:right w:val="single" w:color="auto" w:sz="4" w:space="0"/>
            </w:tcBorders>
            <w:noWrap w:val="0"/>
            <w:vAlign w:val="center"/>
          </w:tcPr>
          <w:p>
            <w:pPr>
              <w:spacing w:line="560" w:lineRule="exact"/>
              <w:ind w:firstLine="440" w:firstLineChars="200"/>
              <w:jc w:val="center"/>
              <w:rPr>
                <w:rFonts w:eastAsia="仿宋_GB2312"/>
                <w:color w:val="000000"/>
                <w:sz w:val="22"/>
              </w:rPr>
            </w:pPr>
            <w:r>
              <w:rPr>
                <w:rFonts w:hint="eastAsia"/>
                <w:color w:val="000000"/>
                <w:sz w:val="22"/>
              </w:rPr>
              <w:t>30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pPr>
              <w:spacing w:line="560" w:lineRule="exact"/>
              <w:ind w:firstLine="440" w:firstLineChars="200"/>
              <w:jc w:val="center"/>
              <w:rPr>
                <w:color w:val="000000"/>
                <w:sz w:val="22"/>
              </w:rPr>
            </w:pPr>
            <w:r>
              <w:rPr>
                <w:rFonts w:hint="eastAsia"/>
                <w:color w:val="000000"/>
                <w:sz w:val="22"/>
              </w:rPr>
              <w:t>满意度指标</w:t>
            </w:r>
          </w:p>
        </w:tc>
        <w:tc>
          <w:tcPr>
            <w:tcW w:w="2168" w:type="dxa"/>
            <w:tcBorders>
              <w:top w:val="nil"/>
              <w:left w:val="nil"/>
              <w:bottom w:val="single" w:color="auto" w:sz="4" w:space="0"/>
              <w:right w:val="single" w:color="auto" w:sz="4" w:space="0"/>
            </w:tcBorders>
            <w:noWrap w:val="0"/>
            <w:vAlign w:val="center"/>
          </w:tcPr>
          <w:p>
            <w:pPr>
              <w:spacing w:line="560" w:lineRule="exact"/>
              <w:ind w:firstLine="440" w:firstLineChars="200"/>
              <w:jc w:val="center"/>
              <w:rPr>
                <w:rFonts w:eastAsia="仿宋_GB2312"/>
                <w:color w:val="000000"/>
                <w:sz w:val="22"/>
              </w:rPr>
            </w:pPr>
            <w:r>
              <w:rPr>
                <w:rFonts w:hint="eastAsia"/>
                <w:color w:val="000000"/>
                <w:sz w:val="22"/>
              </w:rPr>
              <w:t>10</w:t>
            </w:r>
          </w:p>
        </w:tc>
        <w:tc>
          <w:tcPr>
            <w:tcW w:w="2278" w:type="dxa"/>
            <w:tcBorders>
              <w:top w:val="nil"/>
              <w:left w:val="nil"/>
              <w:bottom w:val="single" w:color="auto" w:sz="4" w:space="0"/>
              <w:right w:val="single" w:color="auto" w:sz="4" w:space="0"/>
            </w:tcBorders>
            <w:noWrap w:val="0"/>
            <w:vAlign w:val="center"/>
          </w:tcPr>
          <w:p>
            <w:pPr>
              <w:spacing w:line="560" w:lineRule="exact"/>
              <w:ind w:firstLine="440" w:firstLineChars="200"/>
              <w:jc w:val="center"/>
              <w:rPr>
                <w:rFonts w:eastAsia="仿宋_GB2312"/>
                <w:color w:val="000000"/>
                <w:sz w:val="22"/>
              </w:rPr>
            </w:pPr>
            <w:r>
              <w:rPr>
                <w:rFonts w:hint="eastAsia"/>
                <w:color w:val="000000"/>
                <w:sz w:val="22"/>
              </w:rPr>
              <w:t>10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noWrap w:val="0"/>
            <w:vAlign w:val="center"/>
          </w:tcPr>
          <w:p>
            <w:pPr>
              <w:spacing w:line="560" w:lineRule="exact"/>
              <w:ind w:firstLine="442" w:firstLineChars="200"/>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noWrap w:val="0"/>
            <w:vAlign w:val="center"/>
          </w:tcPr>
          <w:p>
            <w:pPr>
              <w:spacing w:line="560" w:lineRule="exact"/>
              <w:ind w:firstLine="442" w:firstLineChars="200"/>
              <w:jc w:val="center"/>
              <w:rPr>
                <w:rFonts w:eastAsia="仿宋_GB2312"/>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noWrap w:val="0"/>
            <w:vAlign w:val="center"/>
          </w:tcPr>
          <w:p>
            <w:pPr>
              <w:spacing w:line="560" w:lineRule="exact"/>
              <w:ind w:firstLine="442" w:firstLineChars="200"/>
              <w:jc w:val="center"/>
              <w:rPr>
                <w:rFonts w:eastAsia="仿宋_GB2312"/>
                <w:b/>
                <w:bCs/>
                <w:color w:val="000000"/>
                <w:sz w:val="22"/>
              </w:rPr>
            </w:pPr>
            <w:r>
              <w:rPr>
                <w:rFonts w:hint="eastAsia"/>
                <w:b/>
                <w:bCs/>
                <w:color w:val="000000"/>
                <w:sz w:val="22"/>
              </w:rPr>
              <w:t>100</w:t>
            </w:r>
          </w:p>
        </w:tc>
      </w:tr>
    </w:tbl>
    <w:p>
      <w:pPr>
        <w:pStyle w:val="3"/>
        <w:spacing w:line="540" w:lineRule="exact"/>
        <w:ind w:firstLine="627" w:firstLineChars="200"/>
        <w:rPr>
          <w:rFonts w:ascii="楷体" w:hAnsi="楷体" w:eastAsia="楷体"/>
          <w:bCs w:val="0"/>
          <w:i w:val="0"/>
          <w:iCs w:val="0"/>
          <w:color w:val="000000"/>
          <w:spacing w:val="-4"/>
          <w:kern w:val="2"/>
          <w:sz w:val="32"/>
          <w:szCs w:val="32"/>
        </w:rPr>
      </w:pPr>
      <w:bookmarkStart w:id="1" w:name="_Toc68702121"/>
      <w:r>
        <w:rPr>
          <w:rFonts w:hint="eastAsia" w:ascii="楷体" w:hAnsi="楷体" w:eastAsia="楷体"/>
          <w:bCs w:val="0"/>
          <w:i w:val="0"/>
          <w:iCs w:val="0"/>
          <w:color w:val="000000"/>
          <w:spacing w:val="-4"/>
          <w:kern w:val="2"/>
          <w:sz w:val="32"/>
          <w:szCs w:val="32"/>
        </w:rPr>
        <w:t>（二）评价结论</w:t>
      </w:r>
      <w:bookmarkEnd w:id="1"/>
      <w:r>
        <w:rPr>
          <w:rFonts w:hint="eastAsia" w:ascii="楷体" w:hAnsi="楷体" w:eastAsia="楷体"/>
          <w:bCs w:val="0"/>
          <w:i w:val="0"/>
          <w:iCs w:val="0"/>
          <w:color w:val="000000"/>
          <w:spacing w:val="-4"/>
          <w:kern w:val="2"/>
          <w:sz w:val="32"/>
          <w:szCs w:val="32"/>
        </w:rPr>
        <w:t>。</w:t>
      </w:r>
    </w:p>
    <w:p>
      <w:pPr>
        <w:spacing w:line="540" w:lineRule="exact"/>
        <w:ind w:firstLine="567"/>
        <w:rPr>
          <w:rStyle w:val="19"/>
          <w:rFonts w:ascii="楷体" w:hAnsi="楷体" w:eastAsia="楷体"/>
          <w:color w:val="000000"/>
          <w:spacing w:val="-4"/>
          <w:sz w:val="32"/>
          <w:szCs w:val="32"/>
        </w:rPr>
      </w:pPr>
      <w:r>
        <w:rPr>
          <w:rFonts w:hint="eastAsia" w:ascii="仿宋_GB2312" w:hAnsi="仿宋_GB2312" w:eastAsia="仿宋_GB2312" w:cs="仿宋_GB2312"/>
          <w:color w:val="000000"/>
          <w:sz w:val="32"/>
          <w:szCs w:val="32"/>
        </w:rPr>
        <w:t>202</w:t>
      </w:r>
      <w:r>
        <w:rPr>
          <w:rFonts w:hint="eastAsia" w:ascii="仿宋_GB2312" w:hAnsi="仿宋_GB2312" w:eastAsia="仿宋_GB2312" w:cs="仿宋_GB2312"/>
          <w:color w:val="000000"/>
          <w:sz w:val="32"/>
          <w:szCs w:val="32"/>
          <w:lang w:val="en-US" w:eastAsia="zh-CN"/>
        </w:rPr>
        <w:t>3</w:t>
      </w:r>
      <w:r>
        <w:rPr>
          <w:rFonts w:hint="eastAsia" w:ascii="仿宋_GB2312" w:hAnsi="仿宋_GB2312" w:eastAsia="仿宋_GB2312" w:cs="仿宋_GB2312"/>
          <w:color w:val="000000"/>
          <w:sz w:val="32"/>
          <w:szCs w:val="32"/>
        </w:rPr>
        <w:t>年贸促会各项业务费按照设定的绩效评价目标，</w:t>
      </w:r>
      <w:r>
        <w:rPr>
          <w:rStyle w:val="19"/>
          <w:rFonts w:hint="eastAsia" w:ascii="仿宋_GB2312" w:hAnsi="楷体" w:eastAsia="仿宋_GB2312"/>
          <w:b w:val="0"/>
          <w:color w:val="000000"/>
          <w:spacing w:val="-4"/>
          <w:sz w:val="32"/>
          <w:szCs w:val="32"/>
        </w:rPr>
        <w:t>主动</w:t>
      </w:r>
      <w:r>
        <w:rPr>
          <w:rStyle w:val="19"/>
          <w:rFonts w:ascii="仿宋_GB2312" w:hAnsi="楷体" w:eastAsia="仿宋_GB2312"/>
          <w:b w:val="0"/>
          <w:color w:val="000000"/>
          <w:spacing w:val="-4"/>
          <w:sz w:val="32"/>
          <w:szCs w:val="32"/>
        </w:rPr>
        <w:t>开展经贸交流工作</w:t>
      </w:r>
      <w:r>
        <w:rPr>
          <w:rStyle w:val="19"/>
          <w:rFonts w:hint="eastAsia" w:ascii="仿宋_GB2312" w:hAnsi="楷体" w:eastAsia="仿宋_GB2312"/>
          <w:b w:val="0"/>
          <w:color w:val="000000"/>
          <w:spacing w:val="-4"/>
          <w:sz w:val="32"/>
          <w:szCs w:val="32"/>
        </w:rPr>
        <w:t>，积极</w:t>
      </w:r>
      <w:r>
        <w:rPr>
          <w:rStyle w:val="19"/>
          <w:rFonts w:ascii="仿宋_GB2312" w:hAnsi="楷体" w:eastAsia="仿宋_GB2312"/>
          <w:b w:val="0"/>
          <w:color w:val="000000"/>
          <w:spacing w:val="-4"/>
          <w:sz w:val="32"/>
          <w:szCs w:val="32"/>
        </w:rPr>
        <w:t>组织我区企业</w:t>
      </w:r>
      <w:r>
        <w:rPr>
          <w:rStyle w:val="19"/>
          <w:rFonts w:hint="eastAsia" w:ascii="仿宋_GB2312" w:hAnsi="楷体" w:eastAsia="仿宋_GB2312"/>
          <w:b w:val="0"/>
          <w:color w:val="000000"/>
          <w:spacing w:val="-4"/>
          <w:sz w:val="32"/>
          <w:szCs w:val="32"/>
        </w:rPr>
        <w:t>以线上线下相结合的方式，</w:t>
      </w:r>
      <w:r>
        <w:rPr>
          <w:rStyle w:val="19"/>
          <w:rFonts w:ascii="仿宋_GB2312" w:hAnsi="楷体" w:eastAsia="仿宋_GB2312"/>
          <w:b w:val="0"/>
          <w:color w:val="000000"/>
          <w:spacing w:val="-4"/>
          <w:sz w:val="32"/>
          <w:szCs w:val="32"/>
        </w:rPr>
        <w:t>参加</w:t>
      </w:r>
      <w:r>
        <w:rPr>
          <w:rStyle w:val="19"/>
          <w:rFonts w:hint="eastAsia" w:ascii="仿宋_GB2312" w:hAnsi="楷体" w:eastAsia="仿宋_GB2312"/>
          <w:b w:val="0"/>
          <w:color w:val="000000"/>
          <w:spacing w:val="-4"/>
          <w:sz w:val="32"/>
          <w:szCs w:val="32"/>
        </w:rPr>
        <w:t>境内外博览会、展览会、推介会等重要经贸活动，帮助新疆企业开阔视野，</w:t>
      </w:r>
      <w:r>
        <w:rPr>
          <w:rFonts w:hint="eastAsia" w:ascii="仿宋" w:hAnsi="仿宋" w:eastAsia="仿宋"/>
          <w:color w:val="000000"/>
          <w:sz w:val="32"/>
          <w:szCs w:val="32"/>
        </w:rPr>
        <w:t>不断拓展境内外市场，</w:t>
      </w:r>
      <w:r>
        <w:rPr>
          <w:rFonts w:hint="eastAsia" w:ascii="仿宋_GB2312" w:hAnsi="仿宋_GB2312" w:eastAsia="仿宋_GB2312" w:cs="仿宋_GB2312"/>
          <w:color w:val="000000"/>
          <w:sz w:val="32"/>
          <w:szCs w:val="32"/>
        </w:rPr>
        <w:t>顺利完成贸促业务各项工作任务。资金项目的项目决策、项目过程、项目产出、项目效益均达到了预期要求，最终得分为100分，项目达成年度指标。</w:t>
      </w:r>
    </w:p>
    <w:p>
      <w:pPr>
        <w:spacing w:line="540" w:lineRule="exact"/>
        <w:ind w:firstLine="640"/>
        <w:rPr>
          <w:rStyle w:val="19"/>
          <w:rFonts w:ascii="黑体" w:hAnsi="黑体" w:eastAsia="黑体"/>
          <w:color w:val="000000"/>
        </w:rPr>
      </w:pPr>
      <w:r>
        <w:rPr>
          <w:rStyle w:val="19"/>
          <w:rFonts w:hint="eastAsia" w:ascii="黑体" w:hAnsi="黑体" w:eastAsia="黑体"/>
          <w:b w:val="0"/>
          <w:color w:val="000000"/>
          <w:spacing w:val="-4"/>
          <w:sz w:val="32"/>
          <w:szCs w:val="32"/>
        </w:rPr>
        <w:t>四、</w:t>
      </w:r>
      <w:r>
        <w:rPr>
          <w:rStyle w:val="19"/>
          <w:rFonts w:hint="eastAsia"/>
          <w:color w:val="000000"/>
          <w:spacing w:val="-4"/>
          <w:sz w:val="32"/>
          <w:szCs w:val="32"/>
        </w:rPr>
        <w:t>绩效评价指标分析</w:t>
      </w:r>
      <w:r>
        <w:rPr>
          <w:rStyle w:val="19"/>
          <w:rFonts w:hint="eastAsia" w:ascii="黑体" w:hAnsi="黑体" w:eastAsia="黑体"/>
          <w:b w:val="0"/>
          <w:color w:val="000000"/>
          <w:spacing w:val="-4"/>
          <w:sz w:val="32"/>
          <w:szCs w:val="32"/>
        </w:rPr>
        <w:t xml:space="preserve"> </w:t>
      </w:r>
    </w:p>
    <w:p>
      <w:pPr>
        <w:spacing w:line="540" w:lineRule="exact"/>
        <w:ind w:firstLine="567" w:firstLineChars="181"/>
        <w:rPr>
          <w:rFonts w:ascii="楷体" w:hAnsi="楷体" w:eastAsia="楷体"/>
          <w:b/>
          <w:color w:val="000000"/>
          <w:spacing w:val="-4"/>
          <w:sz w:val="32"/>
          <w:szCs w:val="32"/>
        </w:rPr>
      </w:pPr>
      <w:r>
        <w:rPr>
          <w:rFonts w:hint="eastAsia" w:ascii="楷体" w:hAnsi="楷体" w:eastAsia="楷体"/>
          <w:b/>
          <w:color w:val="000000"/>
          <w:spacing w:val="-4"/>
          <w:sz w:val="32"/>
          <w:szCs w:val="32"/>
        </w:rPr>
        <w:t>（一）项目决策情况。</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1、立项依据充分性</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贸促会各项业务费项目立项依据</w:t>
      </w:r>
      <w:r>
        <w:rPr>
          <w:rFonts w:ascii="仿宋_GB2312" w:hAnsi="仿宋_GB2312" w:eastAsia="仿宋_GB2312" w:cs="仿宋_GB2312"/>
          <w:color w:val="000000"/>
          <w:sz w:val="32"/>
          <w:szCs w:val="32"/>
        </w:rPr>
        <w:t>各项</w:t>
      </w:r>
      <w:r>
        <w:rPr>
          <w:rFonts w:hint="eastAsia" w:ascii="仿宋_GB2312" w:hAnsi="仿宋_GB2312" w:eastAsia="仿宋_GB2312" w:cs="仿宋_GB2312"/>
          <w:color w:val="000000"/>
          <w:sz w:val="32"/>
          <w:szCs w:val="32"/>
        </w:rPr>
        <w:t>工作要求，按照</w:t>
      </w:r>
      <w:r>
        <w:rPr>
          <w:rFonts w:ascii="仿宋_GB2312" w:hAnsi="仿宋_GB2312" w:eastAsia="仿宋_GB2312" w:cs="仿宋_GB2312"/>
          <w:color w:val="000000"/>
          <w:sz w:val="32"/>
          <w:szCs w:val="32"/>
        </w:rPr>
        <w:t>贸促会</w:t>
      </w:r>
      <w:r>
        <w:rPr>
          <w:rFonts w:hint="eastAsia" w:ascii="仿宋_GB2312" w:hAnsi="仿宋_GB2312" w:eastAsia="仿宋_GB2312" w:cs="仿宋_GB2312"/>
          <w:color w:val="000000"/>
          <w:sz w:val="32"/>
          <w:szCs w:val="32"/>
        </w:rPr>
        <w:t>职责范围界定，精心编制资金项目预算申报书，并经</w:t>
      </w:r>
      <w:r>
        <w:rPr>
          <w:rFonts w:ascii="仿宋_GB2312" w:hAnsi="仿宋_GB2312" w:eastAsia="仿宋_GB2312" w:cs="仿宋_GB2312"/>
          <w:color w:val="000000"/>
          <w:sz w:val="32"/>
          <w:szCs w:val="32"/>
        </w:rPr>
        <w:t>贸促会</w:t>
      </w:r>
      <w:r>
        <w:rPr>
          <w:rFonts w:hint="eastAsia" w:ascii="仿宋_GB2312" w:hAnsi="仿宋_GB2312" w:eastAsia="仿宋_GB2312" w:cs="仿宋_GB2312"/>
          <w:color w:val="000000"/>
          <w:sz w:val="32"/>
          <w:szCs w:val="32"/>
        </w:rPr>
        <w:t>严格审核。</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2、立项程序规范性</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贸促会各项业务费项目预算项目严格按照规定的程序申请设立，审批文件、材料符合相关要求。</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3、绩效目标合理性</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贸促会各项业务费项目设立了项目绩效目标，与</w:t>
      </w:r>
      <w:r>
        <w:rPr>
          <w:rFonts w:ascii="仿宋_GB2312" w:hAnsi="仿宋_GB2312" w:eastAsia="仿宋_GB2312" w:cs="仿宋_GB2312"/>
          <w:color w:val="000000"/>
          <w:sz w:val="32"/>
          <w:szCs w:val="32"/>
        </w:rPr>
        <w:t>贸促会</w:t>
      </w:r>
      <w:r>
        <w:rPr>
          <w:rFonts w:hint="eastAsia" w:ascii="仿宋_GB2312" w:hAnsi="仿宋_GB2312" w:eastAsia="仿宋_GB2312" w:cs="仿宋_GB2312"/>
          <w:color w:val="000000"/>
          <w:sz w:val="32"/>
          <w:szCs w:val="32"/>
        </w:rPr>
        <w:t>各项重点工作均具有相关性，项目的预期产出效益和效果也均能符合正常的业绩水平，并且与预算确定的项目投资额或资金量相匹配。</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4、绩效指标明确性</w:t>
      </w:r>
    </w:p>
    <w:p>
      <w:pPr>
        <w:spacing w:line="540" w:lineRule="exact"/>
        <w:ind w:firstLine="640" w:firstLineChars="200"/>
        <w:jc w:val="left"/>
        <w:rPr>
          <w:rFonts w:ascii="仿宋_GB2312" w:hAnsi="仿宋_GB2312" w:eastAsia="仿宋_GB2312" w:cs="仿宋_GB2312"/>
          <w:color w:val="000000"/>
          <w:sz w:val="32"/>
          <w:szCs w:val="32"/>
        </w:rPr>
      </w:pPr>
      <w:bookmarkStart w:id="2" w:name="_Hlk68699917"/>
      <w:r>
        <w:rPr>
          <w:rFonts w:hint="eastAsia" w:ascii="仿宋_GB2312" w:hAnsi="仿宋_GB2312" w:eastAsia="仿宋_GB2312" w:cs="仿宋_GB2312"/>
          <w:color w:val="000000"/>
          <w:sz w:val="32"/>
          <w:szCs w:val="32"/>
        </w:rPr>
        <w:t>贸促会各项业务费项目将绩效目标细化分解为具体的绩效指标，一级指标共3条，二级指标共</w:t>
      </w:r>
      <w:r>
        <w:rPr>
          <w:rFonts w:ascii="仿宋_GB2312" w:hAnsi="仿宋_GB2312" w:eastAsia="仿宋_GB2312" w:cs="仿宋_GB2312"/>
          <w:color w:val="000000"/>
          <w:sz w:val="32"/>
          <w:szCs w:val="32"/>
        </w:rPr>
        <w:t>6</w:t>
      </w:r>
      <w:r>
        <w:rPr>
          <w:rFonts w:hint="eastAsia" w:ascii="仿宋_GB2312" w:hAnsi="仿宋_GB2312" w:eastAsia="仿宋_GB2312" w:cs="仿宋_GB2312"/>
          <w:color w:val="000000"/>
          <w:sz w:val="32"/>
          <w:szCs w:val="32"/>
        </w:rPr>
        <w:t>条，三级指标共1</w:t>
      </w:r>
      <w:r>
        <w:rPr>
          <w:rFonts w:hint="eastAsia" w:ascii="仿宋_GB2312" w:hAnsi="仿宋_GB2312" w:eastAsia="仿宋_GB2312" w:cs="仿宋_GB2312"/>
          <w:color w:val="000000"/>
          <w:sz w:val="32"/>
          <w:szCs w:val="32"/>
          <w:lang w:val="en-US" w:eastAsia="zh-CN"/>
        </w:rPr>
        <w:t>0</w:t>
      </w:r>
      <w:r>
        <w:rPr>
          <w:rFonts w:hint="eastAsia" w:ascii="仿宋_GB2312" w:hAnsi="仿宋_GB2312" w:eastAsia="仿宋_GB2312" w:cs="仿宋_GB2312"/>
          <w:color w:val="000000"/>
          <w:sz w:val="32"/>
          <w:szCs w:val="32"/>
        </w:rPr>
        <w:t>条，所有绩效指标均通过清晰、可衡量的指标值予以体现，并且做到了与项目目标任务数或计划数相对应。</w:t>
      </w:r>
      <w:bookmarkEnd w:id="2"/>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5、预算编制科学性</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贸促会各项业务费项目资金预算均按照标准编制，并经过科学论证，与项目内容匹配，预算确定的项目投资额与工作任务相匹配。</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6、资金分配合理性</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预算资金分配依据充分，资金分配额度合理，与</w:t>
      </w:r>
      <w:r>
        <w:rPr>
          <w:rFonts w:ascii="仿宋_GB2312" w:hAnsi="仿宋_GB2312" w:eastAsia="仿宋_GB2312" w:cs="仿宋_GB2312"/>
          <w:color w:val="000000"/>
          <w:sz w:val="32"/>
          <w:szCs w:val="32"/>
        </w:rPr>
        <w:t>新疆贸促会实际</w:t>
      </w:r>
      <w:r>
        <w:rPr>
          <w:rFonts w:hint="eastAsia" w:ascii="仿宋_GB2312" w:hAnsi="仿宋_GB2312" w:eastAsia="仿宋_GB2312" w:cs="仿宋_GB2312"/>
          <w:color w:val="000000"/>
          <w:sz w:val="32"/>
          <w:szCs w:val="32"/>
        </w:rPr>
        <w:t>相适应。</w:t>
      </w:r>
    </w:p>
    <w:p>
      <w:pPr>
        <w:spacing w:line="540" w:lineRule="exact"/>
        <w:ind w:firstLine="567" w:firstLineChars="181"/>
        <w:rPr>
          <w:rFonts w:ascii="楷体" w:hAnsi="楷体" w:eastAsia="楷体"/>
          <w:b/>
          <w:color w:val="000000"/>
          <w:spacing w:val="-4"/>
          <w:sz w:val="32"/>
          <w:szCs w:val="32"/>
        </w:rPr>
      </w:pPr>
      <w:r>
        <w:rPr>
          <w:rFonts w:hint="eastAsia" w:ascii="楷体" w:hAnsi="楷体" w:eastAsia="楷体"/>
          <w:b/>
          <w:color w:val="000000"/>
          <w:spacing w:val="-4"/>
          <w:sz w:val="32"/>
          <w:szCs w:val="32"/>
        </w:rPr>
        <w:t>（二）项目过程情况。</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1、资金到位率：</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实际到位资金</w:t>
      </w:r>
      <w:r>
        <w:rPr>
          <w:rFonts w:hint="eastAsia" w:ascii="仿宋_GB2312" w:hAnsi="仿宋_GB2312" w:eastAsia="仿宋_GB2312" w:cs="仿宋_GB2312"/>
          <w:color w:val="000000"/>
          <w:sz w:val="32"/>
          <w:szCs w:val="32"/>
          <w:lang w:val="en-US" w:eastAsia="zh-CN"/>
        </w:rPr>
        <w:t>84</w:t>
      </w:r>
      <w:r>
        <w:rPr>
          <w:rFonts w:hint="eastAsia" w:ascii="仿宋_GB2312" w:hAnsi="仿宋_GB2312" w:eastAsia="仿宋_GB2312" w:cs="仿宋_GB2312"/>
          <w:color w:val="000000"/>
          <w:sz w:val="32"/>
          <w:szCs w:val="32"/>
        </w:rPr>
        <w:t>万元，预算资金</w:t>
      </w:r>
      <w:r>
        <w:rPr>
          <w:rFonts w:hint="eastAsia" w:ascii="仿宋_GB2312" w:hAnsi="仿宋_GB2312" w:eastAsia="仿宋_GB2312" w:cs="仿宋_GB2312"/>
          <w:color w:val="000000"/>
          <w:sz w:val="32"/>
          <w:szCs w:val="32"/>
          <w:lang w:val="en-US" w:eastAsia="zh-CN"/>
        </w:rPr>
        <w:t>84</w:t>
      </w:r>
      <w:r>
        <w:rPr>
          <w:rFonts w:hint="eastAsia" w:ascii="仿宋_GB2312" w:hAnsi="仿宋_GB2312" w:eastAsia="仿宋_GB2312" w:cs="仿宋_GB2312"/>
          <w:color w:val="000000"/>
          <w:sz w:val="32"/>
          <w:szCs w:val="32"/>
        </w:rPr>
        <w:t>万元（</w:t>
      </w:r>
      <w:r>
        <w:rPr>
          <w:rFonts w:hint="eastAsia" w:ascii="仿宋" w:hAnsi="仿宋" w:eastAsia="仿宋"/>
          <w:color w:val="000000"/>
          <w:sz w:val="32"/>
          <w:szCs w:val="32"/>
        </w:rPr>
        <w:t>其中财政拨款</w:t>
      </w:r>
      <w:r>
        <w:rPr>
          <w:rFonts w:hint="eastAsia" w:ascii="仿宋" w:hAnsi="仿宋" w:eastAsia="仿宋"/>
          <w:color w:val="000000"/>
          <w:sz w:val="32"/>
          <w:szCs w:val="32"/>
          <w:lang w:val="en-US" w:eastAsia="zh-CN"/>
        </w:rPr>
        <w:t>84</w:t>
      </w:r>
      <w:r>
        <w:rPr>
          <w:rFonts w:hint="eastAsia" w:ascii="仿宋" w:hAnsi="仿宋" w:eastAsia="仿宋"/>
          <w:color w:val="000000"/>
          <w:sz w:val="32"/>
          <w:szCs w:val="32"/>
        </w:rPr>
        <w:t>万元）</w:t>
      </w:r>
      <w:r>
        <w:rPr>
          <w:rFonts w:hint="eastAsia" w:ascii="仿宋_GB2312" w:hAnsi="仿宋_GB2312" w:eastAsia="仿宋_GB2312" w:cs="仿宋_GB2312"/>
          <w:color w:val="000000"/>
          <w:sz w:val="32"/>
          <w:szCs w:val="32"/>
        </w:rPr>
        <w:t>，资金到位率100%（资金到位率=（实际到位资金/预算资金）×100%）</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2、预算执行率</w:t>
      </w:r>
    </w:p>
    <w:p>
      <w:pPr>
        <w:spacing w:line="540" w:lineRule="exact"/>
        <w:ind w:firstLine="64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全年预算数84万元(</w:t>
      </w:r>
      <w:r>
        <w:rPr>
          <w:rFonts w:hint="eastAsia" w:ascii="仿宋" w:hAnsi="仿宋" w:eastAsia="仿宋"/>
          <w:color w:val="000000"/>
          <w:sz w:val="32"/>
          <w:szCs w:val="32"/>
        </w:rPr>
        <w:t>其中财政拨款84万元）</w:t>
      </w:r>
      <w:r>
        <w:rPr>
          <w:rFonts w:hint="eastAsia" w:ascii="仿宋_GB2312" w:hAnsi="仿宋_GB2312" w:eastAsia="仿宋_GB2312" w:cs="仿宋_GB2312"/>
          <w:color w:val="000000"/>
          <w:sz w:val="32"/>
          <w:szCs w:val="32"/>
        </w:rPr>
        <w:t>，执行</w:t>
      </w:r>
      <w:r>
        <w:rPr>
          <w:rFonts w:hint="eastAsia" w:ascii="仿宋_GB2312" w:hAnsi="仿宋_GB2312" w:eastAsia="仿宋_GB2312" w:cs="仿宋_GB2312"/>
          <w:color w:val="000000"/>
          <w:sz w:val="32"/>
          <w:szCs w:val="32"/>
          <w:lang w:val="en-US" w:eastAsia="zh-CN"/>
        </w:rPr>
        <w:t>84</w:t>
      </w:r>
      <w:r>
        <w:rPr>
          <w:rFonts w:hint="eastAsia" w:ascii="仿宋_GB2312" w:hAnsi="仿宋_GB2312" w:eastAsia="仿宋_GB2312" w:cs="仿宋_GB2312"/>
          <w:color w:val="000000"/>
          <w:sz w:val="32"/>
          <w:szCs w:val="32"/>
        </w:rPr>
        <w:t>万元，预算执行率为100%。（详见</w:t>
      </w:r>
      <w:r>
        <w:rPr>
          <w:rFonts w:hint="eastAsia" w:ascii="仿宋_GB2312" w:hAnsi="仿宋_GB2312" w:eastAsia="仿宋_GB2312" w:cs="仿宋_GB2312"/>
          <w:bCs/>
          <w:color w:val="000000"/>
          <w:sz w:val="32"/>
          <w:szCs w:val="32"/>
        </w:rPr>
        <w:t>五、</w:t>
      </w:r>
      <w:r>
        <w:rPr>
          <w:rStyle w:val="19"/>
          <w:rFonts w:hint="eastAsia" w:ascii="仿宋_GB2312" w:hAnsi="仿宋_GB2312" w:eastAsia="仿宋_GB2312" w:cs="仿宋_GB2312"/>
          <w:b w:val="0"/>
          <w:bCs w:val="0"/>
          <w:color w:val="000000"/>
          <w:spacing w:val="-4"/>
          <w:sz w:val="32"/>
          <w:szCs w:val="32"/>
        </w:rPr>
        <w:t>（二）</w:t>
      </w:r>
      <w:r>
        <w:rPr>
          <w:rFonts w:hint="eastAsia" w:ascii="仿宋_GB2312" w:hAnsi="仿宋_GB2312" w:eastAsia="仿宋_GB2312" w:cs="仿宋_GB2312"/>
          <w:bCs/>
          <w:color w:val="000000"/>
          <w:sz w:val="32"/>
          <w:szCs w:val="32"/>
        </w:rPr>
        <w:t>预算执行进度与绩效指标偏差</w:t>
      </w:r>
      <w:r>
        <w:rPr>
          <w:rFonts w:hint="eastAsia" w:ascii="仿宋_GB2312" w:hAnsi="仿宋_GB2312" w:eastAsia="仿宋_GB2312" w:cs="仿宋_GB2312"/>
          <w:color w:val="000000"/>
          <w:sz w:val="32"/>
          <w:szCs w:val="32"/>
        </w:rPr>
        <w:t>）</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3、资金使用合规性</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资金使用符合国家财经法规和财务管理制度以及有关专项资金管理办法的规定；资金的拨付严格按照</w:t>
      </w:r>
      <w:r>
        <w:rPr>
          <w:rFonts w:ascii="仿宋_GB2312" w:hAnsi="仿宋_GB2312" w:eastAsia="仿宋_GB2312" w:cs="仿宋_GB2312"/>
          <w:color w:val="000000"/>
          <w:sz w:val="32"/>
          <w:szCs w:val="32"/>
        </w:rPr>
        <w:t>新疆贸促会</w:t>
      </w:r>
      <w:r>
        <w:rPr>
          <w:rFonts w:hint="eastAsia" w:ascii="仿宋_GB2312" w:hAnsi="仿宋_GB2312" w:eastAsia="仿宋_GB2312" w:cs="仿宋_GB2312"/>
          <w:color w:val="000000"/>
          <w:sz w:val="32"/>
          <w:szCs w:val="32"/>
        </w:rPr>
        <w:t>相关规定具备完整的审批程序和手续；符合项目预算批复或合同规定的用途；不存在截留、挤占、挪用、虚列支出等情况。</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4、管理制度健全性</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已制定或具有相应的财务和业务管理制度；财务和业务管理制度合法、合规、完整。</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5、制度执行有效性</w:t>
      </w:r>
    </w:p>
    <w:p>
      <w:pPr>
        <w:spacing w:line="54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严格遵守相关法律法规和相关管理规定；项目调整及支出调整手续完备；项目合同书、验收报告、技术鉴定等资料齐全并及时归档；项目实施的人员条件、场地设备、信息支撑等落实到位。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color w:val="000000"/>
          <w:spacing w:val="-4"/>
          <w:sz w:val="32"/>
          <w:szCs w:val="32"/>
        </w:rPr>
      </w:pPr>
      <w:r>
        <w:rPr>
          <w:rFonts w:hint="eastAsia" w:ascii="楷体" w:hAnsi="楷体" w:eastAsia="楷体"/>
          <w:b/>
          <w:color w:val="000000"/>
          <w:spacing w:val="-4"/>
          <w:sz w:val="32"/>
          <w:szCs w:val="32"/>
        </w:rPr>
        <w:t>（三）项目产出情况。</w:t>
      </w:r>
    </w:p>
    <w:p>
      <w:pPr>
        <w:spacing w:line="540" w:lineRule="exact"/>
        <w:ind w:firstLine="643" w:firstLineChars="200"/>
        <w:jc w:val="left"/>
        <w:rPr>
          <w:rFonts w:ascii="仿宋" w:hAnsi="仿宋" w:eastAsia="仿宋"/>
          <w:b/>
          <w:color w:val="000000"/>
          <w:sz w:val="32"/>
          <w:szCs w:val="32"/>
        </w:rPr>
      </w:pPr>
      <w:r>
        <w:rPr>
          <w:rFonts w:hint="eastAsia" w:ascii="仿宋" w:hAnsi="仿宋" w:eastAsia="仿宋"/>
          <w:b/>
          <w:color w:val="000000"/>
          <w:sz w:val="32"/>
          <w:szCs w:val="32"/>
        </w:rPr>
        <w:t>数量指标：</w:t>
      </w:r>
    </w:p>
    <w:p>
      <w:pPr>
        <w:spacing w:line="54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参加博览会、展会、贸促业务会及调研批次，预期指标值18批次，指标完成值18批次，指标完成率</w:t>
      </w:r>
      <w:r>
        <w:rPr>
          <w:rFonts w:ascii="仿宋" w:hAnsi="仿宋" w:eastAsia="仿宋"/>
          <w:color w:val="000000"/>
          <w:sz w:val="32"/>
          <w:szCs w:val="32"/>
        </w:rPr>
        <w:t>100%</w:t>
      </w:r>
      <w:r>
        <w:rPr>
          <w:rFonts w:hint="eastAsia" w:ascii="仿宋" w:hAnsi="仿宋" w:eastAsia="仿宋"/>
          <w:color w:val="000000"/>
          <w:sz w:val="32"/>
          <w:szCs w:val="32"/>
        </w:rPr>
        <w:t>；</w:t>
      </w:r>
    </w:p>
    <w:p>
      <w:pPr>
        <w:spacing w:line="54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业务系统软硬件运维数量，预期指标</w:t>
      </w: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套，指标完成值</w:t>
      </w: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套，指标完成率</w:t>
      </w:r>
      <w:r>
        <w:rPr>
          <w:rFonts w:ascii="仿宋" w:hAnsi="仿宋" w:eastAsia="仿宋"/>
          <w:color w:val="000000"/>
          <w:sz w:val="32"/>
          <w:szCs w:val="32"/>
        </w:rPr>
        <w:t>100%</w:t>
      </w:r>
      <w:r>
        <w:rPr>
          <w:rFonts w:hint="eastAsia" w:ascii="仿宋" w:hAnsi="仿宋" w:eastAsia="仿宋"/>
          <w:color w:val="000000"/>
          <w:sz w:val="32"/>
          <w:szCs w:val="32"/>
        </w:rPr>
        <w:t>；</w:t>
      </w:r>
    </w:p>
    <w:p>
      <w:pPr>
        <w:spacing w:line="540" w:lineRule="exact"/>
        <w:ind w:firstLine="643" w:firstLineChars="200"/>
        <w:jc w:val="left"/>
        <w:rPr>
          <w:rFonts w:ascii="仿宋" w:hAnsi="仿宋" w:eastAsia="仿宋"/>
          <w:b/>
          <w:color w:val="000000"/>
          <w:sz w:val="32"/>
          <w:szCs w:val="32"/>
        </w:rPr>
      </w:pPr>
      <w:r>
        <w:rPr>
          <w:rFonts w:hint="eastAsia" w:ascii="仿宋" w:hAnsi="仿宋" w:eastAsia="仿宋"/>
          <w:b/>
          <w:color w:val="000000"/>
          <w:sz w:val="32"/>
          <w:szCs w:val="32"/>
        </w:rPr>
        <w:t>质量指标：</w:t>
      </w:r>
    </w:p>
    <w:p>
      <w:pPr>
        <w:spacing w:line="54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业务工作会议及调研工作完成率，预期指标值≥90%，指标完成值100</w:t>
      </w:r>
      <w:r>
        <w:rPr>
          <w:rFonts w:ascii="仿宋" w:hAnsi="仿宋" w:eastAsia="仿宋"/>
          <w:color w:val="000000"/>
          <w:sz w:val="32"/>
          <w:szCs w:val="32"/>
        </w:rPr>
        <w:t>%</w:t>
      </w:r>
      <w:r>
        <w:rPr>
          <w:rFonts w:hint="eastAsia" w:ascii="仿宋" w:hAnsi="仿宋" w:eastAsia="仿宋"/>
          <w:color w:val="000000"/>
          <w:sz w:val="32"/>
          <w:szCs w:val="32"/>
        </w:rPr>
        <w:t>，指标完成率</w:t>
      </w:r>
      <w:r>
        <w:rPr>
          <w:rFonts w:ascii="仿宋" w:hAnsi="仿宋" w:eastAsia="仿宋"/>
          <w:color w:val="000000"/>
          <w:sz w:val="32"/>
          <w:szCs w:val="32"/>
        </w:rPr>
        <w:t>100%</w:t>
      </w:r>
      <w:r>
        <w:rPr>
          <w:rFonts w:hint="eastAsia" w:ascii="仿宋" w:hAnsi="仿宋" w:eastAsia="仿宋"/>
          <w:color w:val="000000"/>
          <w:sz w:val="32"/>
          <w:szCs w:val="32"/>
        </w:rPr>
        <w:t>;</w:t>
      </w:r>
    </w:p>
    <w:p>
      <w:pPr>
        <w:spacing w:line="54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业务系统故障率，预期指标值≤15%，指标完成值≤15%，指标完成率</w:t>
      </w:r>
      <w:r>
        <w:rPr>
          <w:rFonts w:ascii="仿宋" w:hAnsi="仿宋" w:eastAsia="仿宋"/>
          <w:color w:val="000000"/>
          <w:sz w:val="32"/>
          <w:szCs w:val="32"/>
        </w:rPr>
        <w:t>100%</w:t>
      </w:r>
      <w:r>
        <w:rPr>
          <w:rFonts w:hint="eastAsia" w:ascii="仿宋" w:hAnsi="仿宋" w:eastAsia="仿宋"/>
          <w:color w:val="000000"/>
          <w:sz w:val="32"/>
          <w:szCs w:val="32"/>
        </w:rPr>
        <w:t>;</w:t>
      </w:r>
    </w:p>
    <w:p>
      <w:pPr>
        <w:spacing w:line="540" w:lineRule="exact"/>
        <w:ind w:firstLine="643" w:firstLineChars="200"/>
        <w:jc w:val="left"/>
        <w:rPr>
          <w:rFonts w:ascii="仿宋" w:hAnsi="仿宋" w:eastAsia="仿宋"/>
          <w:b/>
          <w:color w:val="000000"/>
          <w:sz w:val="32"/>
          <w:szCs w:val="32"/>
        </w:rPr>
      </w:pPr>
      <w:r>
        <w:rPr>
          <w:rFonts w:hint="eastAsia" w:ascii="仿宋" w:hAnsi="仿宋" w:eastAsia="仿宋"/>
          <w:b/>
          <w:color w:val="000000"/>
          <w:sz w:val="32"/>
          <w:szCs w:val="32"/>
        </w:rPr>
        <w:t>时效指标：</w:t>
      </w:r>
    </w:p>
    <w:p>
      <w:pPr>
        <w:spacing w:line="54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系统故障修复处理时间，预期指标值&lt;=3天，指标完成值&lt;=3天，指标完成率</w:t>
      </w:r>
      <w:r>
        <w:rPr>
          <w:rFonts w:ascii="仿宋" w:hAnsi="仿宋" w:eastAsia="仿宋"/>
          <w:color w:val="000000"/>
          <w:sz w:val="32"/>
          <w:szCs w:val="32"/>
        </w:rPr>
        <w:t>100%</w:t>
      </w:r>
      <w:r>
        <w:rPr>
          <w:rFonts w:hint="eastAsia" w:ascii="仿宋" w:hAnsi="仿宋" w:eastAsia="仿宋"/>
          <w:color w:val="000000"/>
          <w:sz w:val="32"/>
          <w:szCs w:val="32"/>
        </w:rPr>
        <w:t>;</w:t>
      </w:r>
    </w:p>
    <w:p>
      <w:pPr>
        <w:spacing w:line="54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系统运行维护响应时间，预期指标值&lt;=24小时，指标完成值&lt;=24小时，指标完成率</w:t>
      </w:r>
      <w:r>
        <w:rPr>
          <w:rFonts w:ascii="仿宋" w:hAnsi="仿宋" w:eastAsia="仿宋"/>
          <w:color w:val="000000"/>
          <w:sz w:val="32"/>
          <w:szCs w:val="32"/>
        </w:rPr>
        <w:t>100%</w:t>
      </w:r>
      <w:r>
        <w:rPr>
          <w:rFonts w:hint="eastAsia" w:ascii="仿宋" w:hAnsi="仿宋" w:eastAsia="仿宋"/>
          <w:color w:val="000000"/>
          <w:sz w:val="32"/>
          <w:szCs w:val="32"/>
        </w:rPr>
        <w:t>;</w:t>
      </w:r>
    </w:p>
    <w:p>
      <w:pPr>
        <w:spacing w:line="540" w:lineRule="exact"/>
        <w:ind w:firstLine="643" w:firstLineChars="200"/>
        <w:jc w:val="left"/>
        <w:rPr>
          <w:rFonts w:ascii="仿宋" w:hAnsi="仿宋" w:eastAsia="仿宋"/>
          <w:b/>
          <w:color w:val="000000"/>
          <w:sz w:val="32"/>
          <w:szCs w:val="32"/>
        </w:rPr>
      </w:pPr>
      <w:r>
        <w:rPr>
          <w:rFonts w:hint="eastAsia" w:ascii="仿宋" w:hAnsi="仿宋" w:eastAsia="仿宋"/>
          <w:b/>
          <w:color w:val="000000"/>
          <w:sz w:val="32"/>
          <w:szCs w:val="32"/>
        </w:rPr>
        <w:t>成本指标：</w:t>
      </w:r>
    </w:p>
    <w:p>
      <w:pPr>
        <w:spacing w:line="54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年度维护成本增长率，预期指标值</w:t>
      </w:r>
      <w:r>
        <w:rPr>
          <w:rFonts w:ascii="仿宋" w:hAnsi="仿宋" w:eastAsia="仿宋"/>
          <w:color w:val="000000"/>
          <w:sz w:val="32"/>
          <w:szCs w:val="32"/>
        </w:rPr>
        <w:t>&lt;=30%</w:t>
      </w:r>
      <w:r>
        <w:rPr>
          <w:rFonts w:hint="eastAsia" w:ascii="仿宋" w:hAnsi="仿宋" w:eastAsia="仿宋"/>
          <w:color w:val="000000"/>
          <w:sz w:val="32"/>
          <w:szCs w:val="32"/>
        </w:rPr>
        <w:t>，指标完成值</w:t>
      </w:r>
      <w:r>
        <w:rPr>
          <w:rFonts w:ascii="仿宋" w:hAnsi="仿宋" w:eastAsia="仿宋"/>
          <w:color w:val="000000"/>
          <w:sz w:val="32"/>
          <w:szCs w:val="32"/>
        </w:rPr>
        <w:t>&lt;=30%</w:t>
      </w:r>
      <w:r>
        <w:rPr>
          <w:rFonts w:hint="eastAsia" w:ascii="仿宋" w:hAnsi="仿宋" w:eastAsia="仿宋"/>
          <w:color w:val="000000"/>
          <w:sz w:val="32"/>
          <w:szCs w:val="32"/>
        </w:rPr>
        <w:t>，指标完成率</w:t>
      </w:r>
      <w:r>
        <w:rPr>
          <w:rFonts w:ascii="仿宋" w:hAnsi="仿宋" w:eastAsia="仿宋"/>
          <w:color w:val="000000"/>
          <w:sz w:val="32"/>
          <w:szCs w:val="32"/>
        </w:rPr>
        <w:t>100%</w:t>
      </w:r>
      <w:r>
        <w:rPr>
          <w:rFonts w:hint="eastAsia" w:ascii="仿宋" w:hAnsi="仿宋" w:eastAsia="仿宋"/>
          <w:color w:val="000000"/>
          <w:sz w:val="32"/>
          <w:szCs w:val="32"/>
        </w:rPr>
        <w:t>;</w:t>
      </w:r>
    </w:p>
    <w:p>
      <w:pPr>
        <w:spacing w:line="54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项目预算控制率，预期指标值</w:t>
      </w:r>
      <w:r>
        <w:rPr>
          <w:rFonts w:ascii="仿宋" w:hAnsi="仿宋" w:eastAsia="仿宋"/>
          <w:color w:val="000000"/>
          <w:sz w:val="32"/>
          <w:szCs w:val="32"/>
        </w:rPr>
        <w:t>&lt;=100%</w:t>
      </w:r>
      <w:r>
        <w:rPr>
          <w:rFonts w:hint="eastAsia" w:ascii="仿宋" w:hAnsi="仿宋" w:eastAsia="仿宋"/>
          <w:color w:val="000000"/>
          <w:sz w:val="32"/>
          <w:szCs w:val="32"/>
        </w:rPr>
        <w:t>，指标完成值</w:t>
      </w:r>
      <w:r>
        <w:rPr>
          <w:rFonts w:ascii="仿宋" w:hAnsi="仿宋" w:eastAsia="仿宋"/>
          <w:color w:val="000000"/>
          <w:sz w:val="32"/>
          <w:szCs w:val="32"/>
        </w:rPr>
        <w:t>&lt;=</w:t>
      </w:r>
      <w:r>
        <w:rPr>
          <w:rFonts w:hint="eastAsia" w:ascii="仿宋" w:hAnsi="仿宋" w:eastAsia="仿宋"/>
          <w:color w:val="000000"/>
          <w:sz w:val="32"/>
          <w:szCs w:val="32"/>
        </w:rPr>
        <w:t>10</w:t>
      </w:r>
      <w:r>
        <w:rPr>
          <w:rFonts w:ascii="仿宋" w:hAnsi="仿宋" w:eastAsia="仿宋"/>
          <w:color w:val="000000"/>
          <w:sz w:val="32"/>
          <w:szCs w:val="32"/>
        </w:rPr>
        <w:t>0%</w:t>
      </w:r>
      <w:r>
        <w:rPr>
          <w:rFonts w:hint="eastAsia" w:ascii="仿宋" w:hAnsi="仿宋" w:eastAsia="仿宋"/>
          <w:color w:val="000000"/>
          <w:sz w:val="32"/>
          <w:szCs w:val="32"/>
        </w:rPr>
        <w:t>，指标完成率</w:t>
      </w:r>
      <w:r>
        <w:rPr>
          <w:rFonts w:ascii="仿宋" w:hAnsi="仿宋" w:eastAsia="仿宋"/>
          <w:color w:val="000000"/>
          <w:sz w:val="32"/>
          <w:szCs w:val="32"/>
        </w:rPr>
        <w:t>100%</w:t>
      </w:r>
      <w:r>
        <w:rPr>
          <w:rFonts w:hint="eastAsia" w:ascii="仿宋" w:hAnsi="仿宋" w:eastAsia="仿宋"/>
          <w:color w:val="000000"/>
          <w:sz w:val="32"/>
          <w:szCs w:val="32"/>
        </w:rPr>
        <w:t>。</w:t>
      </w:r>
    </w:p>
    <w:p>
      <w:pPr>
        <w:spacing w:line="540" w:lineRule="exact"/>
        <w:ind w:firstLine="643" w:firstLineChars="200"/>
        <w:jc w:val="left"/>
        <w:rPr>
          <w:rFonts w:ascii="仿宋" w:hAnsi="仿宋" w:eastAsia="仿宋"/>
          <w:b/>
          <w:color w:val="000000"/>
          <w:sz w:val="32"/>
          <w:szCs w:val="32"/>
        </w:rPr>
      </w:pPr>
      <w:r>
        <w:rPr>
          <w:rFonts w:hint="eastAsia" w:ascii="仿宋" w:hAnsi="仿宋" w:eastAsia="仿宋"/>
          <w:b/>
          <w:color w:val="000000"/>
          <w:sz w:val="32"/>
          <w:szCs w:val="32"/>
        </w:rPr>
        <w:t>社会效益指标：</w:t>
      </w:r>
    </w:p>
    <w:p>
      <w:pPr>
        <w:spacing w:line="54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提供良好履职基础，提高业务服务能力，预期指标值明显提升，指标完成值明显提升，指标完成率</w:t>
      </w:r>
      <w:r>
        <w:rPr>
          <w:rFonts w:ascii="仿宋" w:hAnsi="仿宋" w:eastAsia="仿宋"/>
          <w:color w:val="000000"/>
          <w:sz w:val="32"/>
          <w:szCs w:val="32"/>
        </w:rPr>
        <w:t>100%</w:t>
      </w:r>
      <w:r>
        <w:rPr>
          <w:rFonts w:hint="eastAsia" w:ascii="仿宋" w:hAnsi="仿宋" w:eastAsia="仿宋"/>
          <w:color w:val="000000"/>
          <w:sz w:val="32"/>
          <w:szCs w:val="32"/>
        </w:rPr>
        <w:t>；</w:t>
      </w:r>
    </w:p>
    <w:p>
      <w:pPr>
        <w:spacing w:line="540" w:lineRule="exact"/>
        <w:ind w:firstLine="643" w:firstLineChars="200"/>
        <w:jc w:val="left"/>
        <w:rPr>
          <w:rFonts w:ascii="仿宋" w:hAnsi="仿宋" w:eastAsia="仿宋"/>
          <w:b/>
          <w:color w:val="000000"/>
          <w:sz w:val="32"/>
          <w:szCs w:val="32"/>
        </w:rPr>
      </w:pPr>
      <w:r>
        <w:rPr>
          <w:rFonts w:hint="eastAsia" w:ascii="仿宋" w:hAnsi="仿宋" w:eastAsia="仿宋"/>
          <w:b/>
          <w:color w:val="000000"/>
          <w:sz w:val="32"/>
          <w:szCs w:val="32"/>
        </w:rPr>
        <w:t>服务对象满意度指标：</w:t>
      </w:r>
    </w:p>
    <w:p>
      <w:pPr>
        <w:spacing w:line="540" w:lineRule="exact"/>
        <w:ind w:firstLine="640" w:firstLineChars="200"/>
        <w:jc w:val="left"/>
        <w:rPr>
          <w:rFonts w:ascii="仿宋" w:hAnsi="仿宋" w:eastAsia="仿宋"/>
          <w:color w:val="000000"/>
          <w:sz w:val="32"/>
          <w:szCs w:val="32"/>
        </w:rPr>
      </w:pPr>
      <w:r>
        <w:rPr>
          <w:rFonts w:hint="eastAsia" w:ascii="仿宋" w:hAnsi="仿宋" w:eastAsia="仿宋"/>
          <w:color w:val="000000"/>
          <w:sz w:val="32"/>
          <w:szCs w:val="32"/>
        </w:rPr>
        <w:t>工作人员满意度，预期指标值≥90%，指标完成值≥90%，指标完成率</w:t>
      </w:r>
      <w:r>
        <w:rPr>
          <w:rFonts w:ascii="仿宋" w:hAnsi="仿宋" w:eastAsia="仿宋"/>
          <w:color w:val="000000"/>
          <w:sz w:val="32"/>
          <w:szCs w:val="32"/>
        </w:rPr>
        <w:t>100%</w:t>
      </w:r>
      <w:r>
        <w:rPr>
          <w:rFonts w:hint="eastAsia" w:ascii="仿宋" w:hAnsi="仿宋" w:eastAsia="仿宋"/>
          <w:color w:val="000000"/>
          <w:sz w:val="32"/>
          <w:szCs w:val="32"/>
        </w:rPr>
        <w:t>。</w:t>
      </w:r>
    </w:p>
    <w:p>
      <w:pPr>
        <w:spacing w:line="540" w:lineRule="exact"/>
        <w:ind w:firstLine="567" w:firstLineChars="181"/>
        <w:rPr>
          <w:rFonts w:ascii="楷体" w:hAnsi="楷体" w:eastAsia="楷体"/>
          <w:b/>
          <w:color w:val="000000"/>
          <w:spacing w:val="-4"/>
          <w:sz w:val="32"/>
          <w:szCs w:val="32"/>
        </w:rPr>
      </w:pPr>
      <w:r>
        <w:rPr>
          <w:rFonts w:hint="eastAsia" w:ascii="楷体" w:hAnsi="楷体" w:eastAsia="楷体"/>
          <w:b/>
          <w:color w:val="000000"/>
          <w:spacing w:val="-4"/>
          <w:sz w:val="32"/>
          <w:szCs w:val="32"/>
        </w:rPr>
        <w:t>（四）项目效益情况。</w:t>
      </w:r>
    </w:p>
    <w:p>
      <w:pPr>
        <w:spacing w:line="540" w:lineRule="exact"/>
        <w:ind w:firstLine="567"/>
        <w:rPr>
          <w:rStyle w:val="19"/>
          <w:rFonts w:ascii="仿宋_GB2312" w:hAnsi="仿宋_GB2312" w:eastAsia="仿宋_GB2312" w:cs="仿宋_GB2312"/>
          <w:b w:val="0"/>
          <w:bCs w:val="0"/>
          <w:color w:val="000000"/>
          <w:spacing w:val="-4"/>
          <w:sz w:val="32"/>
          <w:szCs w:val="32"/>
        </w:rPr>
      </w:pPr>
      <w:r>
        <w:rPr>
          <w:rStyle w:val="19"/>
          <w:rFonts w:hint="eastAsia" w:ascii="仿宋_GB2312" w:hAnsi="仿宋_GB2312" w:eastAsia="仿宋_GB2312" w:cs="仿宋_GB2312"/>
          <w:b w:val="0"/>
          <w:bCs w:val="0"/>
          <w:color w:val="000000"/>
          <w:spacing w:val="-4"/>
          <w:sz w:val="32"/>
          <w:szCs w:val="32"/>
        </w:rPr>
        <w:t>通过开展境内外</w:t>
      </w:r>
      <w:r>
        <w:rPr>
          <w:rStyle w:val="19"/>
          <w:rFonts w:ascii="仿宋_GB2312" w:hAnsi="仿宋_GB2312" w:eastAsia="仿宋_GB2312" w:cs="仿宋_GB2312"/>
          <w:b w:val="0"/>
          <w:bCs w:val="0"/>
          <w:color w:val="000000"/>
          <w:spacing w:val="-4"/>
          <w:sz w:val="32"/>
          <w:szCs w:val="32"/>
        </w:rPr>
        <w:t>经贸交流合作</w:t>
      </w:r>
      <w:r>
        <w:rPr>
          <w:rStyle w:val="19"/>
          <w:rFonts w:hint="eastAsia" w:ascii="仿宋_GB2312" w:hAnsi="仿宋_GB2312" w:eastAsia="仿宋_GB2312" w:cs="仿宋_GB2312"/>
          <w:b w:val="0"/>
          <w:bCs w:val="0"/>
          <w:color w:val="000000"/>
          <w:spacing w:val="-4"/>
          <w:sz w:val="32"/>
          <w:szCs w:val="32"/>
        </w:rPr>
        <w:t>，</w:t>
      </w:r>
      <w:r>
        <w:rPr>
          <w:rStyle w:val="19"/>
          <w:rFonts w:hint="eastAsia" w:ascii="仿宋_GB2312" w:hAnsi="楷体" w:eastAsia="仿宋_GB2312"/>
          <w:b w:val="0"/>
          <w:color w:val="000000"/>
          <w:spacing w:val="-4"/>
          <w:sz w:val="32"/>
          <w:szCs w:val="32"/>
        </w:rPr>
        <w:t>帮助我区企业提升对国内国际市场需求情况的了解，</w:t>
      </w:r>
      <w:r>
        <w:rPr>
          <w:rStyle w:val="19"/>
          <w:rFonts w:hint="eastAsia" w:ascii="仿宋_GB2312" w:hAnsi="仿宋_GB2312" w:eastAsia="仿宋_GB2312" w:cs="仿宋_GB2312"/>
          <w:b w:val="0"/>
          <w:bCs w:val="0"/>
          <w:color w:val="000000"/>
          <w:spacing w:val="-4"/>
          <w:sz w:val="32"/>
          <w:szCs w:val="32"/>
        </w:rPr>
        <w:t>通过企业调研，了解新疆企业实际困难，更好地帮助新疆企业</w:t>
      </w:r>
      <w:r>
        <w:rPr>
          <w:rStyle w:val="19"/>
          <w:rFonts w:ascii="仿宋_GB2312" w:hAnsi="仿宋_GB2312" w:eastAsia="仿宋_GB2312" w:cs="仿宋_GB2312"/>
          <w:b w:val="0"/>
          <w:bCs w:val="0"/>
          <w:color w:val="000000"/>
          <w:spacing w:val="-4"/>
          <w:sz w:val="32"/>
          <w:szCs w:val="32"/>
        </w:rPr>
        <w:t>开拓市场</w:t>
      </w:r>
      <w:r>
        <w:rPr>
          <w:rStyle w:val="19"/>
          <w:rFonts w:hint="eastAsia" w:ascii="仿宋_GB2312" w:hAnsi="仿宋_GB2312" w:eastAsia="仿宋_GB2312" w:cs="仿宋_GB2312"/>
          <w:b w:val="0"/>
          <w:bCs w:val="0"/>
          <w:color w:val="000000"/>
          <w:spacing w:val="-4"/>
          <w:sz w:val="32"/>
          <w:szCs w:val="32"/>
        </w:rPr>
        <w:t>，增强贸促服务的能力。</w:t>
      </w:r>
    </w:p>
    <w:p>
      <w:pPr>
        <w:spacing w:line="540" w:lineRule="exact"/>
        <w:ind w:firstLine="567" w:firstLineChars="181"/>
        <w:rPr>
          <w:rFonts w:ascii="楷体" w:hAnsi="楷体" w:eastAsia="楷体"/>
          <w:b/>
          <w:color w:val="000000"/>
          <w:spacing w:val="-4"/>
          <w:sz w:val="32"/>
          <w:szCs w:val="32"/>
        </w:rPr>
      </w:pPr>
      <w:r>
        <w:rPr>
          <w:rFonts w:hint="eastAsia" w:ascii="楷体" w:hAnsi="楷体" w:eastAsia="楷体"/>
          <w:b/>
          <w:color w:val="000000"/>
          <w:spacing w:val="-4"/>
          <w:sz w:val="32"/>
          <w:szCs w:val="32"/>
        </w:rPr>
        <w:t>（五）满意度指标完成情况分析。</w:t>
      </w:r>
    </w:p>
    <w:p>
      <w:pPr>
        <w:spacing w:line="540" w:lineRule="exact"/>
        <w:ind w:firstLine="567"/>
        <w:rPr>
          <w:rStyle w:val="19"/>
          <w:rFonts w:ascii="楷体" w:hAnsi="楷体" w:eastAsia="楷体"/>
          <w:color w:val="000000"/>
          <w:spacing w:val="-4"/>
          <w:sz w:val="32"/>
          <w:szCs w:val="32"/>
        </w:rPr>
      </w:pPr>
      <w:r>
        <w:rPr>
          <w:rStyle w:val="19"/>
          <w:rFonts w:hint="eastAsia" w:ascii="仿宋_GB2312" w:hAnsi="楷体" w:eastAsia="仿宋_GB2312"/>
          <w:b w:val="0"/>
          <w:color w:val="000000"/>
          <w:spacing w:val="-4"/>
          <w:sz w:val="32"/>
          <w:szCs w:val="32"/>
        </w:rPr>
        <w:t>工作人员满意度达到90</w:t>
      </w:r>
      <w:r>
        <w:rPr>
          <w:rStyle w:val="19"/>
          <w:rFonts w:ascii="仿宋_GB2312" w:hAnsi="楷体" w:eastAsia="仿宋_GB2312"/>
          <w:b w:val="0"/>
          <w:color w:val="000000"/>
          <w:spacing w:val="-4"/>
          <w:sz w:val="32"/>
          <w:szCs w:val="32"/>
        </w:rPr>
        <w:t>%</w:t>
      </w:r>
      <w:r>
        <w:rPr>
          <w:rStyle w:val="19"/>
          <w:rFonts w:hint="eastAsia" w:ascii="仿宋_GB2312" w:hAnsi="楷体" w:eastAsia="仿宋_GB2312"/>
          <w:b w:val="0"/>
          <w:color w:val="000000"/>
          <w:spacing w:val="-4"/>
          <w:sz w:val="32"/>
          <w:szCs w:val="32"/>
        </w:rPr>
        <w:t>以上</w:t>
      </w:r>
    </w:p>
    <w:p>
      <w:pPr>
        <w:spacing w:line="540" w:lineRule="exact"/>
        <w:ind w:firstLine="640"/>
        <w:rPr>
          <w:rStyle w:val="19"/>
          <w:rFonts w:ascii="黑体" w:hAnsi="黑体" w:eastAsia="黑体"/>
          <w:color w:val="000000"/>
          <w:spacing w:val="-4"/>
          <w:sz w:val="32"/>
          <w:szCs w:val="32"/>
        </w:rPr>
      </w:pPr>
      <w:r>
        <w:rPr>
          <w:rStyle w:val="19"/>
          <w:rFonts w:hint="eastAsia" w:ascii="黑体" w:hAnsi="黑体" w:eastAsia="黑体"/>
          <w:b w:val="0"/>
          <w:color w:val="000000"/>
          <w:spacing w:val="-4"/>
          <w:sz w:val="32"/>
          <w:szCs w:val="32"/>
        </w:rPr>
        <w:t>五、</w:t>
      </w:r>
      <w:r>
        <w:rPr>
          <w:rStyle w:val="19"/>
          <w:rFonts w:ascii="黑体" w:hAnsi="黑体" w:eastAsia="黑体"/>
          <w:b w:val="0"/>
          <w:color w:val="000000"/>
          <w:spacing w:val="-4"/>
          <w:sz w:val="32"/>
          <w:szCs w:val="32"/>
        </w:rPr>
        <w:t>主要经验及做法、存在的问题及原因分析</w:t>
      </w:r>
    </w:p>
    <w:p>
      <w:pPr>
        <w:spacing w:line="540" w:lineRule="exact"/>
        <w:ind w:firstLine="624" w:firstLineChars="200"/>
        <w:rPr>
          <w:rStyle w:val="19"/>
          <w:rFonts w:ascii="仿宋_GB2312" w:hAnsi="仿宋_GB2312" w:eastAsia="仿宋_GB2312" w:cs="仿宋_GB2312"/>
          <w:b w:val="0"/>
          <w:bCs w:val="0"/>
          <w:color w:val="000000"/>
          <w:spacing w:val="-4"/>
          <w:sz w:val="32"/>
          <w:szCs w:val="32"/>
        </w:rPr>
      </w:pPr>
      <w:r>
        <w:rPr>
          <w:rStyle w:val="19"/>
          <w:rFonts w:ascii="仿宋_GB2312" w:hAnsi="仿宋_GB2312" w:eastAsia="仿宋_GB2312" w:cs="仿宋_GB2312"/>
          <w:b w:val="0"/>
          <w:bCs w:val="0"/>
          <w:color w:val="000000"/>
          <w:spacing w:val="-4"/>
          <w:sz w:val="32"/>
          <w:szCs w:val="32"/>
        </w:rPr>
        <w:t>1.</w:t>
      </w:r>
      <w:r>
        <w:rPr>
          <w:rStyle w:val="19"/>
          <w:rFonts w:hint="eastAsia" w:ascii="仿宋_GB2312" w:hAnsi="仿宋_GB2312" w:eastAsia="仿宋_GB2312" w:cs="仿宋_GB2312"/>
          <w:b w:val="0"/>
          <w:bCs w:val="0"/>
          <w:color w:val="000000"/>
          <w:spacing w:val="-4"/>
          <w:sz w:val="32"/>
          <w:szCs w:val="32"/>
        </w:rPr>
        <w:t>项目经济性良好，把有限的经费，用于</w:t>
      </w:r>
      <w:r>
        <w:rPr>
          <w:rStyle w:val="19"/>
          <w:rFonts w:ascii="仿宋_GB2312" w:hAnsi="仿宋_GB2312" w:eastAsia="仿宋_GB2312" w:cs="仿宋_GB2312"/>
          <w:b w:val="0"/>
          <w:bCs w:val="0"/>
          <w:color w:val="000000"/>
          <w:spacing w:val="-4"/>
          <w:sz w:val="32"/>
          <w:szCs w:val="32"/>
        </w:rPr>
        <w:t>扩大</w:t>
      </w:r>
      <w:r>
        <w:rPr>
          <w:rStyle w:val="19"/>
          <w:rFonts w:hint="eastAsia" w:ascii="仿宋_GB2312" w:hAnsi="仿宋_GB2312" w:eastAsia="仿宋_GB2312" w:cs="仿宋_GB2312"/>
          <w:b w:val="0"/>
          <w:bCs w:val="0"/>
          <w:color w:val="000000"/>
          <w:spacing w:val="-4"/>
          <w:sz w:val="32"/>
          <w:szCs w:val="32"/>
        </w:rPr>
        <w:t>境内外</w:t>
      </w:r>
      <w:r>
        <w:rPr>
          <w:rStyle w:val="19"/>
          <w:rFonts w:ascii="仿宋_GB2312" w:hAnsi="仿宋_GB2312" w:eastAsia="仿宋_GB2312" w:cs="仿宋_GB2312"/>
          <w:b w:val="0"/>
          <w:bCs w:val="0"/>
          <w:color w:val="000000"/>
          <w:spacing w:val="-4"/>
          <w:sz w:val="32"/>
          <w:szCs w:val="32"/>
        </w:rPr>
        <w:t>经贸交流合作</w:t>
      </w:r>
      <w:r>
        <w:rPr>
          <w:rStyle w:val="19"/>
          <w:rFonts w:hint="eastAsia" w:ascii="仿宋_GB2312" w:hAnsi="仿宋_GB2312" w:eastAsia="仿宋_GB2312" w:cs="仿宋_GB2312"/>
          <w:b w:val="0"/>
          <w:bCs w:val="0"/>
          <w:color w:val="000000"/>
          <w:spacing w:val="-4"/>
          <w:sz w:val="32"/>
          <w:szCs w:val="32"/>
        </w:rPr>
        <w:t>和加强企业服务等工作中，资金利用效率高</w:t>
      </w:r>
      <w:r>
        <w:rPr>
          <w:rStyle w:val="19"/>
          <w:rFonts w:ascii="仿宋_GB2312" w:hAnsi="仿宋_GB2312" w:eastAsia="仿宋_GB2312" w:cs="仿宋_GB2312"/>
          <w:b w:val="0"/>
          <w:bCs w:val="0"/>
          <w:color w:val="000000"/>
          <w:spacing w:val="-4"/>
          <w:sz w:val="32"/>
          <w:szCs w:val="32"/>
        </w:rPr>
        <w:t>，</w:t>
      </w:r>
      <w:r>
        <w:rPr>
          <w:rStyle w:val="19"/>
          <w:rFonts w:hint="eastAsia" w:ascii="仿宋_GB2312" w:hAnsi="仿宋_GB2312" w:eastAsia="仿宋_GB2312" w:cs="仿宋_GB2312"/>
          <w:b w:val="0"/>
          <w:bCs w:val="0"/>
          <w:color w:val="000000"/>
          <w:spacing w:val="-4"/>
          <w:sz w:val="32"/>
          <w:szCs w:val="32"/>
        </w:rPr>
        <w:t>凸显了贸促</w:t>
      </w:r>
      <w:r>
        <w:rPr>
          <w:rStyle w:val="19"/>
          <w:rFonts w:ascii="仿宋_GB2312" w:hAnsi="仿宋_GB2312" w:eastAsia="仿宋_GB2312" w:cs="仿宋_GB2312"/>
          <w:b w:val="0"/>
          <w:bCs w:val="0"/>
          <w:color w:val="000000"/>
          <w:spacing w:val="-4"/>
          <w:sz w:val="32"/>
          <w:szCs w:val="32"/>
        </w:rPr>
        <w:t>会贸易投资促进</w:t>
      </w:r>
      <w:r>
        <w:rPr>
          <w:rStyle w:val="19"/>
          <w:rFonts w:hint="eastAsia" w:ascii="仿宋_GB2312" w:hAnsi="仿宋_GB2312" w:eastAsia="仿宋_GB2312" w:cs="仿宋_GB2312"/>
          <w:b w:val="0"/>
          <w:bCs w:val="0"/>
          <w:color w:val="000000"/>
          <w:spacing w:val="-4"/>
          <w:sz w:val="32"/>
          <w:szCs w:val="32"/>
        </w:rPr>
        <w:t>、服务企业的特点</w:t>
      </w:r>
      <w:r>
        <w:rPr>
          <w:rStyle w:val="19"/>
          <w:rFonts w:ascii="仿宋_GB2312" w:hAnsi="仿宋_GB2312" w:eastAsia="仿宋_GB2312" w:cs="仿宋_GB2312"/>
          <w:b w:val="0"/>
          <w:bCs w:val="0"/>
          <w:color w:val="000000"/>
          <w:spacing w:val="-4"/>
          <w:sz w:val="32"/>
          <w:szCs w:val="32"/>
        </w:rPr>
        <w:t>。</w:t>
      </w:r>
    </w:p>
    <w:p>
      <w:pPr>
        <w:spacing w:line="540" w:lineRule="exact"/>
        <w:ind w:firstLine="624" w:firstLineChars="200"/>
        <w:rPr>
          <w:rStyle w:val="19"/>
          <w:rFonts w:ascii="仿宋_GB2312" w:hAnsi="仿宋_GB2312" w:eastAsia="仿宋_GB2312" w:cs="仿宋_GB2312"/>
          <w:b w:val="0"/>
          <w:bCs w:val="0"/>
          <w:color w:val="000000"/>
          <w:spacing w:val="-4"/>
          <w:sz w:val="32"/>
          <w:szCs w:val="32"/>
        </w:rPr>
      </w:pPr>
      <w:r>
        <w:rPr>
          <w:rStyle w:val="19"/>
          <w:rFonts w:ascii="仿宋_GB2312" w:hAnsi="仿宋_GB2312" w:eastAsia="仿宋_GB2312" w:cs="仿宋_GB2312"/>
          <w:b w:val="0"/>
          <w:bCs w:val="0"/>
          <w:color w:val="000000"/>
          <w:spacing w:val="-4"/>
          <w:sz w:val="32"/>
          <w:szCs w:val="32"/>
        </w:rPr>
        <w:t>2.通过参加培训、展会及接待境外工商会代表团等工作，有效提高单位工作人员业务能力，推动了新疆贸促事业发展。</w:t>
      </w:r>
    </w:p>
    <w:p>
      <w:pPr>
        <w:pStyle w:val="47"/>
        <w:ind w:firstLine="624" w:firstLineChars="200"/>
        <w:rPr>
          <w:rStyle w:val="19"/>
          <w:rFonts w:ascii="仿宋_GB2312" w:hAnsi="仿宋_GB2312" w:eastAsia="仿宋_GB2312" w:cs="仿宋_GB2312"/>
          <w:b w:val="0"/>
          <w:bCs w:val="0"/>
          <w:color w:val="000000"/>
          <w:spacing w:val="-4"/>
          <w:sz w:val="32"/>
          <w:szCs w:val="32"/>
        </w:rPr>
      </w:pPr>
      <w:r>
        <w:rPr>
          <w:rStyle w:val="19"/>
          <w:rFonts w:ascii="仿宋_GB2312" w:hAnsi="仿宋_GB2312" w:eastAsia="仿宋_GB2312" w:cs="仿宋_GB2312"/>
          <w:b w:val="0"/>
          <w:bCs w:val="0"/>
          <w:color w:val="000000"/>
          <w:spacing w:val="-4"/>
          <w:sz w:val="32"/>
          <w:szCs w:val="32"/>
        </w:rPr>
        <w:t>3.通过</w:t>
      </w:r>
      <w:r>
        <w:rPr>
          <w:rStyle w:val="19"/>
          <w:rFonts w:hint="eastAsia" w:ascii="仿宋_GB2312" w:hAnsi="楷体" w:eastAsia="仿宋_GB2312"/>
          <w:b w:val="0"/>
          <w:color w:val="000000"/>
          <w:spacing w:val="-4"/>
          <w:sz w:val="32"/>
          <w:szCs w:val="32"/>
        </w:rPr>
        <w:t>积极</w:t>
      </w:r>
      <w:r>
        <w:rPr>
          <w:rStyle w:val="19"/>
          <w:rFonts w:ascii="仿宋_GB2312" w:hAnsi="楷体" w:eastAsia="仿宋_GB2312"/>
          <w:b w:val="0"/>
          <w:color w:val="000000"/>
          <w:spacing w:val="-4"/>
          <w:sz w:val="32"/>
          <w:szCs w:val="32"/>
        </w:rPr>
        <w:t>组织企业参加</w:t>
      </w:r>
      <w:r>
        <w:rPr>
          <w:rFonts w:hint="eastAsia" w:ascii="仿宋_GB2312" w:hAnsi="仿宋_GB2312" w:eastAsia="仿宋_GB2312" w:cs="方正仿宋_GBK"/>
          <w:sz w:val="32"/>
          <w:szCs w:val="32"/>
        </w:rPr>
        <w:t>2023（第十二届）乌兹别克斯坦—中国新疆商品展览会</w:t>
      </w:r>
      <w:r>
        <w:rPr>
          <w:rFonts w:hint="eastAsia" w:ascii="仿宋_GB2312" w:hAnsi="仿宋_GB2312" w:eastAsia="仿宋_GB2312" w:cs="仿宋_GB2312"/>
          <w:color w:val="000000"/>
          <w:spacing w:val="-11"/>
          <w:sz w:val="32"/>
          <w:szCs w:val="32"/>
        </w:rPr>
        <w:t>、202</w:t>
      </w:r>
      <w:r>
        <w:rPr>
          <w:rFonts w:hint="eastAsia" w:ascii="仿宋_GB2312" w:hAnsi="仿宋_GB2312" w:eastAsia="仿宋_GB2312" w:cs="仿宋_GB2312"/>
          <w:color w:val="000000"/>
          <w:spacing w:val="-11"/>
          <w:sz w:val="32"/>
          <w:szCs w:val="32"/>
          <w:lang w:val="en-US" w:eastAsia="zh-CN"/>
        </w:rPr>
        <w:t>3</w:t>
      </w:r>
      <w:r>
        <w:rPr>
          <w:rFonts w:hint="eastAsia" w:ascii="仿宋_GB2312" w:hAnsi="仿宋_GB2312" w:eastAsia="仿宋_GB2312" w:cs="仿宋_GB2312"/>
          <w:color w:val="000000"/>
          <w:spacing w:val="-11"/>
          <w:sz w:val="32"/>
          <w:szCs w:val="32"/>
        </w:rPr>
        <w:t>年中国国际消费品博览会、中国-东盟国际贸易数字展览会、</w:t>
      </w:r>
      <w:r>
        <w:rPr>
          <w:rFonts w:hint="eastAsia" w:ascii="仿宋_GB2312" w:hAnsi="仿宋_GB2312" w:eastAsia="仿宋_GB2312" w:cs="方正仿宋_GBK"/>
          <w:sz w:val="32"/>
          <w:szCs w:val="32"/>
        </w:rPr>
        <w:t>2023（第九届）格鲁吉亚—中国新疆商品展览会</w:t>
      </w:r>
      <w:r>
        <w:rPr>
          <w:rFonts w:hint="eastAsia" w:ascii="仿宋" w:hAnsi="仿宋" w:eastAsia="仿宋"/>
          <w:color w:val="000000"/>
          <w:sz w:val="32"/>
          <w:szCs w:val="32"/>
        </w:rPr>
        <w:t>等</w:t>
      </w:r>
      <w:r>
        <w:rPr>
          <w:rStyle w:val="19"/>
          <w:rFonts w:hint="eastAsia" w:ascii="仿宋_GB2312" w:hAnsi="楷体" w:eastAsia="仿宋_GB2312"/>
          <w:b w:val="0"/>
          <w:color w:val="000000"/>
          <w:spacing w:val="-4"/>
          <w:sz w:val="32"/>
          <w:szCs w:val="32"/>
        </w:rPr>
        <w:t>境内外博览会、展览会、推介会等重要经贸活动，</w:t>
      </w:r>
      <w:r>
        <w:rPr>
          <w:rStyle w:val="19"/>
          <w:rFonts w:ascii="仿宋_GB2312" w:hAnsi="仿宋_GB2312" w:eastAsia="仿宋_GB2312" w:cs="仿宋_GB2312"/>
          <w:b w:val="0"/>
          <w:bCs w:val="0"/>
          <w:color w:val="000000"/>
          <w:spacing w:val="-4"/>
          <w:sz w:val="32"/>
          <w:szCs w:val="32"/>
        </w:rPr>
        <w:t>开展与世界各国特别是“一带一路”沿线国家经贸交流合作及拓展对外联系，推介新疆投资环境，增强了贸促服务能力，提升服务企业效果，为企业提供更多交流合作机会，为更好地助力新疆“丝绸之路经济带”核心区建设，推动我区开放型经济高质量发展贡献了力量。</w:t>
      </w:r>
    </w:p>
    <w:p>
      <w:pPr>
        <w:spacing w:line="540" w:lineRule="exact"/>
        <w:ind w:firstLine="624" w:firstLineChars="200"/>
        <w:rPr>
          <w:rStyle w:val="19"/>
          <w:rFonts w:ascii="仿宋_GB2312" w:hAnsi="仿宋_GB2312" w:eastAsia="仿宋_GB2312" w:cs="仿宋_GB2312"/>
          <w:b w:val="0"/>
          <w:bCs w:val="0"/>
          <w:color w:val="000000"/>
          <w:spacing w:val="-4"/>
          <w:sz w:val="32"/>
          <w:szCs w:val="32"/>
        </w:rPr>
      </w:pPr>
      <w:r>
        <w:rPr>
          <w:rStyle w:val="19"/>
          <w:rFonts w:hint="eastAsia" w:ascii="仿宋_GB2312" w:hAnsi="仿宋_GB2312" w:eastAsia="仿宋_GB2312" w:cs="仿宋_GB2312"/>
          <w:b w:val="0"/>
          <w:bCs w:val="0"/>
          <w:color w:val="000000"/>
          <w:spacing w:val="-4"/>
          <w:sz w:val="32"/>
          <w:szCs w:val="32"/>
        </w:rPr>
        <w:t>（二）预算执行进度与绩效指标偏差</w:t>
      </w:r>
    </w:p>
    <w:p>
      <w:pPr>
        <w:spacing w:line="540" w:lineRule="exact"/>
        <w:ind w:firstLine="640" w:firstLineChars="200"/>
        <w:rPr>
          <w:rFonts w:ascii="仿宋" w:hAnsi="仿宋" w:eastAsia="仿宋"/>
          <w:color w:val="000000"/>
          <w:sz w:val="32"/>
          <w:szCs w:val="32"/>
        </w:rPr>
      </w:pPr>
      <w:r>
        <w:rPr>
          <w:rFonts w:hint="eastAsia" w:ascii="仿宋_GB2312" w:hAnsi="仿宋" w:eastAsia="仿宋_GB2312"/>
          <w:color w:val="000000"/>
          <w:kern w:val="0"/>
          <w:sz w:val="32"/>
          <w:szCs w:val="32"/>
        </w:rPr>
        <w:t>202</w:t>
      </w:r>
      <w:r>
        <w:rPr>
          <w:rFonts w:hint="eastAsia" w:ascii="仿宋_GB2312" w:hAnsi="仿宋" w:eastAsia="仿宋_GB2312"/>
          <w:color w:val="000000"/>
          <w:kern w:val="0"/>
          <w:sz w:val="32"/>
          <w:szCs w:val="32"/>
          <w:lang w:val="en-US" w:eastAsia="zh-CN"/>
        </w:rPr>
        <w:t>3</w:t>
      </w:r>
      <w:r>
        <w:rPr>
          <w:rFonts w:hint="eastAsia" w:ascii="仿宋_GB2312" w:hAnsi="仿宋" w:eastAsia="仿宋_GB2312"/>
          <w:color w:val="000000"/>
          <w:kern w:val="0"/>
          <w:sz w:val="32"/>
          <w:szCs w:val="32"/>
        </w:rPr>
        <w:t>年</w:t>
      </w:r>
      <w:r>
        <w:rPr>
          <w:rFonts w:hint="eastAsia" w:ascii="仿宋" w:hAnsi="仿宋" w:eastAsia="仿宋"/>
          <w:color w:val="000000"/>
          <w:sz w:val="32"/>
          <w:szCs w:val="32"/>
        </w:rPr>
        <w:t>预算资金均已全部执行。</w:t>
      </w:r>
    </w:p>
    <w:p>
      <w:pPr>
        <w:ind w:firstLine="624" w:firstLineChars="200"/>
        <w:rPr>
          <w:rStyle w:val="19"/>
          <w:rFonts w:ascii="黑体" w:hAnsi="黑体" w:eastAsia="黑体"/>
          <w:b w:val="0"/>
          <w:color w:val="000000"/>
          <w:spacing w:val="-4"/>
          <w:sz w:val="32"/>
          <w:szCs w:val="32"/>
        </w:rPr>
      </w:pPr>
      <w:r>
        <w:rPr>
          <w:rStyle w:val="19"/>
          <w:rFonts w:hint="eastAsia" w:ascii="黑体" w:hAnsi="黑体" w:eastAsia="黑体"/>
          <w:b w:val="0"/>
          <w:color w:val="000000"/>
          <w:spacing w:val="-4"/>
          <w:sz w:val="32"/>
          <w:szCs w:val="32"/>
        </w:rPr>
        <w:t>六</w:t>
      </w:r>
      <w:r>
        <w:rPr>
          <w:rStyle w:val="19"/>
          <w:rFonts w:ascii="黑体" w:hAnsi="黑体" w:eastAsia="黑体"/>
          <w:b w:val="0"/>
          <w:color w:val="000000"/>
          <w:spacing w:val="-4"/>
          <w:sz w:val="32"/>
          <w:szCs w:val="32"/>
        </w:rPr>
        <w:t>、有关建议</w:t>
      </w:r>
    </w:p>
    <w:p>
      <w:pPr>
        <w:pStyle w:val="15"/>
        <w:widowControl/>
        <w:spacing w:before="40" w:beforeAutospacing="0" w:after="0" w:afterAutospacing="0" w:line="540" w:lineRule="exact"/>
        <w:ind w:firstLine="624" w:firstLineChars="200"/>
        <w:jc w:val="both"/>
        <w:rPr>
          <w:rFonts w:ascii="仿宋_GB2312" w:hAnsi="楷体" w:eastAsia="仿宋_GB2312"/>
          <w:color w:val="000000"/>
          <w:spacing w:val="-4"/>
          <w:kern w:val="2"/>
          <w:sz w:val="32"/>
          <w:szCs w:val="32"/>
        </w:rPr>
      </w:pPr>
      <w:r>
        <w:rPr>
          <w:rFonts w:hint="eastAsia" w:ascii="仿宋_GB2312" w:hAnsi="楷体" w:eastAsia="仿宋_GB2312"/>
          <w:color w:val="000000"/>
          <w:spacing w:val="-4"/>
          <w:kern w:val="2"/>
          <w:sz w:val="32"/>
          <w:szCs w:val="32"/>
        </w:rPr>
        <w:t>（一）加强学习。进一步明确如何参照考核体系，科学合理设定绩效目标，充分发挥预算绩效管理工作效用。</w:t>
      </w:r>
    </w:p>
    <w:p>
      <w:pPr>
        <w:pStyle w:val="15"/>
        <w:widowControl/>
        <w:spacing w:before="40" w:beforeAutospacing="0" w:after="0" w:afterAutospacing="0" w:line="540" w:lineRule="exact"/>
        <w:ind w:firstLine="624" w:firstLineChars="200"/>
        <w:jc w:val="both"/>
        <w:rPr>
          <w:rFonts w:ascii="仿宋_GB2312" w:hAnsi="楷体" w:eastAsia="仿宋_GB2312"/>
          <w:color w:val="000000"/>
          <w:spacing w:val="-4"/>
          <w:kern w:val="2"/>
          <w:sz w:val="32"/>
          <w:szCs w:val="32"/>
        </w:rPr>
      </w:pPr>
      <w:r>
        <w:rPr>
          <w:rFonts w:hint="eastAsia" w:ascii="仿宋_GB2312" w:hAnsi="楷体" w:eastAsia="仿宋_GB2312"/>
          <w:color w:val="000000"/>
          <w:spacing w:val="-4"/>
          <w:kern w:val="2"/>
          <w:sz w:val="32"/>
          <w:szCs w:val="32"/>
        </w:rPr>
        <w:t>（二）从源头上强化对专项资金预算管理。实行专项资金预算管理，结合单位实际</w:t>
      </w:r>
      <w:r>
        <w:rPr>
          <w:rFonts w:ascii="仿宋_GB2312" w:hAnsi="楷体" w:eastAsia="仿宋_GB2312"/>
          <w:color w:val="000000"/>
          <w:spacing w:val="-4"/>
          <w:kern w:val="2"/>
          <w:sz w:val="32"/>
          <w:szCs w:val="32"/>
        </w:rPr>
        <w:t xml:space="preserve">, </w:t>
      </w:r>
      <w:r>
        <w:rPr>
          <w:rFonts w:hint="eastAsia" w:ascii="仿宋_GB2312" w:hAnsi="楷体" w:eastAsia="仿宋_GB2312"/>
          <w:color w:val="000000"/>
          <w:spacing w:val="-4"/>
          <w:kern w:val="2"/>
          <w:sz w:val="32"/>
          <w:szCs w:val="32"/>
        </w:rPr>
        <w:t>按轻重缓急统筹安排编制预算</w:t>
      </w:r>
      <w:r>
        <w:rPr>
          <w:rFonts w:ascii="仿宋_GB2312" w:hAnsi="楷体" w:eastAsia="仿宋_GB2312"/>
          <w:color w:val="000000"/>
          <w:spacing w:val="-4"/>
          <w:kern w:val="2"/>
          <w:sz w:val="32"/>
          <w:szCs w:val="32"/>
        </w:rPr>
        <w:t>,</w:t>
      </w:r>
      <w:r>
        <w:rPr>
          <w:rFonts w:hint="eastAsia" w:ascii="仿宋_GB2312" w:hAnsi="楷体" w:eastAsia="仿宋_GB2312"/>
          <w:color w:val="000000"/>
          <w:spacing w:val="-4"/>
          <w:kern w:val="2"/>
          <w:sz w:val="32"/>
          <w:szCs w:val="32"/>
        </w:rPr>
        <w:t>提高预算编制科学性和合理性</w:t>
      </w:r>
      <w:r>
        <w:rPr>
          <w:rFonts w:ascii="仿宋_GB2312" w:hAnsi="楷体" w:eastAsia="仿宋_GB2312"/>
          <w:color w:val="000000"/>
          <w:spacing w:val="-4"/>
          <w:kern w:val="2"/>
          <w:sz w:val="32"/>
          <w:szCs w:val="32"/>
        </w:rPr>
        <w:t>,</w:t>
      </w:r>
      <w:r>
        <w:rPr>
          <w:rFonts w:hint="eastAsia" w:ascii="仿宋_GB2312" w:hAnsi="楷体" w:eastAsia="仿宋_GB2312"/>
          <w:color w:val="000000"/>
          <w:spacing w:val="-4"/>
          <w:kern w:val="2"/>
          <w:sz w:val="32"/>
          <w:szCs w:val="32"/>
        </w:rPr>
        <w:t>优化资金结构。</w:t>
      </w:r>
    </w:p>
    <w:p>
      <w:pPr>
        <w:spacing w:line="540" w:lineRule="exact"/>
        <w:ind w:firstLine="567"/>
        <w:rPr>
          <w:rStyle w:val="19"/>
          <w:rFonts w:ascii="黑体" w:hAnsi="黑体" w:eastAsia="黑体"/>
          <w:b w:val="0"/>
          <w:color w:val="000000"/>
          <w:spacing w:val="-4"/>
          <w:sz w:val="32"/>
          <w:szCs w:val="32"/>
        </w:rPr>
      </w:pPr>
      <w:r>
        <w:rPr>
          <w:rStyle w:val="19"/>
          <w:rFonts w:hint="eastAsia" w:ascii="黑体" w:hAnsi="黑体" w:eastAsia="黑体"/>
          <w:b w:val="0"/>
          <w:color w:val="000000"/>
          <w:spacing w:val="-4"/>
          <w:sz w:val="32"/>
          <w:szCs w:val="32"/>
        </w:rPr>
        <w:t>七、其他需要说明的问题</w:t>
      </w:r>
    </w:p>
    <w:p>
      <w:pPr>
        <w:spacing w:line="540" w:lineRule="exact"/>
        <w:ind w:firstLine="567"/>
        <w:rPr>
          <w:rStyle w:val="19"/>
          <w:rFonts w:ascii="仿宋_GB2312" w:hAnsi="仿宋_GB2312" w:eastAsia="仿宋_GB2312" w:cs="仿宋_GB2312"/>
          <w:b w:val="0"/>
          <w:bCs w:val="0"/>
          <w:color w:val="000000"/>
          <w:spacing w:val="-4"/>
          <w:sz w:val="32"/>
          <w:szCs w:val="32"/>
        </w:rPr>
      </w:pPr>
      <w:r>
        <w:rPr>
          <w:rStyle w:val="19"/>
          <w:rFonts w:hint="eastAsia" w:ascii="仿宋_GB2312" w:hAnsi="仿宋_GB2312" w:eastAsia="仿宋_GB2312" w:cs="仿宋_GB2312"/>
          <w:b w:val="0"/>
          <w:bCs w:val="0"/>
          <w:color w:val="000000"/>
          <w:spacing w:val="-4"/>
          <w:sz w:val="32"/>
          <w:szCs w:val="32"/>
        </w:rPr>
        <w:t>无。</w:t>
      </w:r>
    </w:p>
    <w:sectPr>
      <w:footerReference r:id="rId3" w:type="default"/>
      <w:pgSz w:w="11906" w:h="16838"/>
      <w:pgMar w:top="1440" w:right="1558"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3</w:t>
    </w:r>
    <w:r>
      <w:fldChar w:fldCharType="end"/>
    </w:r>
  </w:p>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RjYzgyYzk0YTg2MzcyODhhZjM5ODM3ZmNmOGZhOGUifQ=="/>
  </w:docVars>
  <w:rsids>
    <w:rsidRoot w:val="00CA6457"/>
    <w:rsid w:val="000110C4"/>
    <w:rsid w:val="00037D50"/>
    <w:rsid w:val="0005416C"/>
    <w:rsid w:val="00056465"/>
    <w:rsid w:val="0006602B"/>
    <w:rsid w:val="00066691"/>
    <w:rsid w:val="000675A8"/>
    <w:rsid w:val="001028C5"/>
    <w:rsid w:val="00102DFF"/>
    <w:rsid w:val="00110469"/>
    <w:rsid w:val="00121AE4"/>
    <w:rsid w:val="00132283"/>
    <w:rsid w:val="0014601B"/>
    <w:rsid w:val="00146AAD"/>
    <w:rsid w:val="00150F05"/>
    <w:rsid w:val="001B3A40"/>
    <w:rsid w:val="001B495E"/>
    <w:rsid w:val="001D0246"/>
    <w:rsid w:val="002279CE"/>
    <w:rsid w:val="00236C5F"/>
    <w:rsid w:val="00273CCD"/>
    <w:rsid w:val="00283BA8"/>
    <w:rsid w:val="00291BC0"/>
    <w:rsid w:val="00295A6D"/>
    <w:rsid w:val="002D7C43"/>
    <w:rsid w:val="0030437E"/>
    <w:rsid w:val="00311DBE"/>
    <w:rsid w:val="003270F2"/>
    <w:rsid w:val="003359AD"/>
    <w:rsid w:val="00345DD7"/>
    <w:rsid w:val="00351EFF"/>
    <w:rsid w:val="003B0577"/>
    <w:rsid w:val="003B575B"/>
    <w:rsid w:val="003E7E58"/>
    <w:rsid w:val="003F5180"/>
    <w:rsid w:val="00403D4C"/>
    <w:rsid w:val="00414C3A"/>
    <w:rsid w:val="00431EF3"/>
    <w:rsid w:val="00434F1B"/>
    <w:rsid w:val="004366A8"/>
    <w:rsid w:val="004708CA"/>
    <w:rsid w:val="004A05EE"/>
    <w:rsid w:val="004C38BC"/>
    <w:rsid w:val="004F0AB6"/>
    <w:rsid w:val="004F1F3C"/>
    <w:rsid w:val="00502BA7"/>
    <w:rsid w:val="005162F1"/>
    <w:rsid w:val="00535153"/>
    <w:rsid w:val="00554F82"/>
    <w:rsid w:val="0056390D"/>
    <w:rsid w:val="005719B0"/>
    <w:rsid w:val="005769AE"/>
    <w:rsid w:val="005A4F2E"/>
    <w:rsid w:val="005A5018"/>
    <w:rsid w:val="005B7081"/>
    <w:rsid w:val="005C24BE"/>
    <w:rsid w:val="005C51DF"/>
    <w:rsid w:val="005D10D6"/>
    <w:rsid w:val="005E7C5E"/>
    <w:rsid w:val="00600E33"/>
    <w:rsid w:val="006365E7"/>
    <w:rsid w:val="00671138"/>
    <w:rsid w:val="00691341"/>
    <w:rsid w:val="006D7882"/>
    <w:rsid w:val="00717C2C"/>
    <w:rsid w:val="00737307"/>
    <w:rsid w:val="00742E61"/>
    <w:rsid w:val="0075584F"/>
    <w:rsid w:val="007833B7"/>
    <w:rsid w:val="008327B1"/>
    <w:rsid w:val="00855E3A"/>
    <w:rsid w:val="00887D7E"/>
    <w:rsid w:val="008A248C"/>
    <w:rsid w:val="008B22AD"/>
    <w:rsid w:val="008C6844"/>
    <w:rsid w:val="0091457F"/>
    <w:rsid w:val="00922CB9"/>
    <w:rsid w:val="00925D36"/>
    <w:rsid w:val="00944DD1"/>
    <w:rsid w:val="009606B4"/>
    <w:rsid w:val="00993FD5"/>
    <w:rsid w:val="00995A11"/>
    <w:rsid w:val="009E5CD9"/>
    <w:rsid w:val="009F4373"/>
    <w:rsid w:val="00A26421"/>
    <w:rsid w:val="00A34588"/>
    <w:rsid w:val="00A413B8"/>
    <w:rsid w:val="00A4293B"/>
    <w:rsid w:val="00A461D9"/>
    <w:rsid w:val="00A67D50"/>
    <w:rsid w:val="00A71BFB"/>
    <w:rsid w:val="00A8691A"/>
    <w:rsid w:val="00A972DF"/>
    <w:rsid w:val="00AA0EEF"/>
    <w:rsid w:val="00AC1946"/>
    <w:rsid w:val="00AC3A96"/>
    <w:rsid w:val="00AD5E52"/>
    <w:rsid w:val="00AD7E82"/>
    <w:rsid w:val="00AF683C"/>
    <w:rsid w:val="00B2343E"/>
    <w:rsid w:val="00B40063"/>
    <w:rsid w:val="00B41F61"/>
    <w:rsid w:val="00B74D04"/>
    <w:rsid w:val="00B77BF3"/>
    <w:rsid w:val="00BA46E6"/>
    <w:rsid w:val="00BB5015"/>
    <w:rsid w:val="00BC345C"/>
    <w:rsid w:val="00BE5629"/>
    <w:rsid w:val="00C013A8"/>
    <w:rsid w:val="00C05D45"/>
    <w:rsid w:val="00C2059C"/>
    <w:rsid w:val="00C56C72"/>
    <w:rsid w:val="00C62CB9"/>
    <w:rsid w:val="00C7584F"/>
    <w:rsid w:val="00C92E04"/>
    <w:rsid w:val="00C94B89"/>
    <w:rsid w:val="00CA6457"/>
    <w:rsid w:val="00CA6DC2"/>
    <w:rsid w:val="00CD37A4"/>
    <w:rsid w:val="00CE2FD9"/>
    <w:rsid w:val="00D17F2E"/>
    <w:rsid w:val="00D30354"/>
    <w:rsid w:val="00D52393"/>
    <w:rsid w:val="00D52B7C"/>
    <w:rsid w:val="00D80C1E"/>
    <w:rsid w:val="00DB1661"/>
    <w:rsid w:val="00DF42A0"/>
    <w:rsid w:val="00E0659A"/>
    <w:rsid w:val="00E30E91"/>
    <w:rsid w:val="00E74525"/>
    <w:rsid w:val="00E769FE"/>
    <w:rsid w:val="00E774CE"/>
    <w:rsid w:val="00E96D03"/>
    <w:rsid w:val="00EA2CBE"/>
    <w:rsid w:val="00EB10A0"/>
    <w:rsid w:val="00EB5160"/>
    <w:rsid w:val="00EC1283"/>
    <w:rsid w:val="00EE174A"/>
    <w:rsid w:val="00F12D84"/>
    <w:rsid w:val="00F31D49"/>
    <w:rsid w:val="00F32FEE"/>
    <w:rsid w:val="00F51CC5"/>
    <w:rsid w:val="00F75ED4"/>
    <w:rsid w:val="00FB10BB"/>
    <w:rsid w:val="00FC1F51"/>
    <w:rsid w:val="0CB44F22"/>
    <w:rsid w:val="0F056127"/>
    <w:rsid w:val="1046543F"/>
    <w:rsid w:val="4D2606A1"/>
    <w:rsid w:val="4E2F211B"/>
    <w:rsid w:val="542F54CB"/>
    <w:rsid w:val="545D4816"/>
    <w:rsid w:val="61BD1EDA"/>
    <w:rsid w:val="62BA5F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Cambria" w:hAnsi="Cambria" w:eastAsia="宋体"/>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Cambria" w:hAnsi="Cambria" w:eastAsia="宋体"/>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Cambria" w:hAnsi="Cambria" w:eastAsia="宋体"/>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Calibri" w:hAnsi="Calibri" w:eastAsia="宋体"/>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Calibri" w:hAnsi="Calibri" w:eastAsia="宋体"/>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Calibri" w:hAnsi="Calibri" w:eastAsia="宋体"/>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Calibri" w:hAnsi="Calibri" w:eastAsia="宋体"/>
      <w:kern w:val="0"/>
      <w:sz w:val="24"/>
    </w:rPr>
  </w:style>
  <w:style w:type="paragraph" w:styleId="9">
    <w:name w:val="heading 8"/>
    <w:basedOn w:val="1"/>
    <w:next w:val="1"/>
    <w:link w:val="28"/>
    <w:unhideWhenUsed/>
    <w:qFormat/>
    <w:uiPriority w:val="9"/>
    <w:pPr>
      <w:widowControl/>
      <w:spacing w:before="240" w:after="60"/>
      <w:jc w:val="left"/>
      <w:outlineLvl w:val="7"/>
    </w:pPr>
    <w:rPr>
      <w:rFonts w:ascii="Calibri" w:hAnsi="Calibri" w:eastAsia="宋体"/>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Cambria" w:hAnsi="Cambria" w:eastAsia="宋体"/>
      <w:kern w:val="0"/>
      <w:sz w:val="22"/>
      <w:szCs w:val="22"/>
    </w:rPr>
  </w:style>
  <w:style w:type="character" w:default="1" w:styleId="18">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11">
    <w:name w:val="Balloon Text"/>
    <w:basedOn w:val="1"/>
    <w:link w:val="30"/>
    <w:unhideWhenUsed/>
    <w:qFormat/>
    <w:uiPriority w:val="99"/>
    <w:rPr>
      <w:sz w:val="18"/>
      <w:szCs w:val="18"/>
    </w:rPr>
  </w:style>
  <w:style w:type="paragraph" w:styleId="12">
    <w:name w:val="footer"/>
    <w:basedOn w:val="1"/>
    <w:link w:val="31"/>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32"/>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3"/>
    <w:qFormat/>
    <w:uiPriority w:val="11"/>
    <w:pPr>
      <w:widowControl/>
      <w:spacing w:after="60"/>
      <w:jc w:val="center"/>
      <w:outlineLvl w:val="1"/>
    </w:pPr>
    <w:rPr>
      <w:rFonts w:ascii="Cambria" w:hAnsi="Cambria" w:eastAsia="宋体"/>
      <w:kern w:val="0"/>
      <w:sz w:val="24"/>
    </w:rPr>
  </w:style>
  <w:style w:type="paragraph" w:styleId="15">
    <w:name w:val="Normal (Web)"/>
    <w:basedOn w:val="1"/>
    <w:qFormat/>
    <w:uiPriority w:val="99"/>
    <w:pPr>
      <w:spacing w:before="100" w:beforeAutospacing="1" w:after="100" w:afterAutospacing="1"/>
      <w:jc w:val="left"/>
    </w:pPr>
    <w:rPr>
      <w:rFonts w:ascii="Calibri" w:hAnsi="Calibri"/>
      <w:color w:val="000000"/>
      <w:kern w:val="0"/>
      <w:sz w:val="24"/>
    </w:rPr>
  </w:style>
  <w:style w:type="paragraph" w:styleId="16">
    <w:name w:val="Title"/>
    <w:basedOn w:val="1"/>
    <w:next w:val="1"/>
    <w:link w:val="34"/>
    <w:qFormat/>
    <w:uiPriority w:val="10"/>
    <w:pPr>
      <w:widowControl/>
      <w:spacing w:before="240" w:after="60"/>
      <w:jc w:val="center"/>
      <w:outlineLvl w:val="0"/>
    </w:pPr>
    <w:rPr>
      <w:rFonts w:ascii="Cambria" w:hAnsi="Cambria" w:eastAsia="宋体"/>
      <w:b/>
      <w:bCs/>
      <w:kern w:val="28"/>
      <w:sz w:val="32"/>
      <w:szCs w:val="32"/>
    </w:rPr>
  </w:style>
  <w:style w:type="character" w:styleId="19">
    <w:name w:val="Strong"/>
    <w:basedOn w:val="18"/>
    <w:qFormat/>
    <w:uiPriority w:val="99"/>
    <w:rPr>
      <w:b/>
      <w:bCs/>
    </w:rPr>
  </w:style>
  <w:style w:type="character" w:styleId="20">
    <w:name w:val="Emphasis"/>
    <w:basedOn w:val="18"/>
    <w:qFormat/>
    <w:uiPriority w:val="20"/>
    <w:rPr>
      <w:rFonts w:ascii="Calibri" w:hAnsi="Calibri"/>
      <w:b/>
      <w:i/>
      <w:iCs/>
    </w:rPr>
  </w:style>
  <w:style w:type="character" w:customStyle="1" w:styleId="21">
    <w:name w:val="标题 1 Char"/>
    <w:basedOn w:val="18"/>
    <w:link w:val="2"/>
    <w:qFormat/>
    <w:uiPriority w:val="9"/>
    <w:rPr>
      <w:rFonts w:ascii="Cambria" w:hAnsi="Cambria" w:eastAsia="宋体"/>
      <w:b/>
      <w:bCs/>
      <w:kern w:val="32"/>
      <w:sz w:val="32"/>
      <w:szCs w:val="32"/>
    </w:rPr>
  </w:style>
  <w:style w:type="character" w:customStyle="1" w:styleId="22">
    <w:name w:val="标题 2 Char"/>
    <w:basedOn w:val="18"/>
    <w:link w:val="3"/>
    <w:semiHidden/>
    <w:qFormat/>
    <w:uiPriority w:val="9"/>
    <w:rPr>
      <w:rFonts w:ascii="Cambria" w:hAnsi="Cambria" w:eastAsia="宋体"/>
      <w:b/>
      <w:bCs/>
      <w:i/>
      <w:iCs/>
      <w:sz w:val="28"/>
      <w:szCs w:val="28"/>
    </w:rPr>
  </w:style>
  <w:style w:type="character" w:customStyle="1" w:styleId="23">
    <w:name w:val="标题 3 Char"/>
    <w:basedOn w:val="18"/>
    <w:link w:val="4"/>
    <w:semiHidden/>
    <w:qFormat/>
    <w:uiPriority w:val="9"/>
    <w:rPr>
      <w:rFonts w:ascii="Cambria" w:hAnsi="Cambria" w:eastAsia="宋体"/>
      <w:b/>
      <w:bCs/>
      <w:sz w:val="26"/>
      <w:szCs w:val="26"/>
    </w:rPr>
  </w:style>
  <w:style w:type="character" w:customStyle="1" w:styleId="24">
    <w:name w:val="标题 4 Char"/>
    <w:basedOn w:val="18"/>
    <w:link w:val="5"/>
    <w:qFormat/>
    <w:uiPriority w:val="9"/>
    <w:rPr>
      <w:b/>
      <w:bCs/>
      <w:sz w:val="28"/>
      <w:szCs w:val="28"/>
    </w:rPr>
  </w:style>
  <w:style w:type="character" w:customStyle="1" w:styleId="25">
    <w:name w:val="标题 5 Char"/>
    <w:basedOn w:val="18"/>
    <w:link w:val="6"/>
    <w:semiHidden/>
    <w:qFormat/>
    <w:uiPriority w:val="9"/>
    <w:rPr>
      <w:b/>
      <w:bCs/>
      <w:i/>
      <w:iCs/>
      <w:sz w:val="26"/>
      <w:szCs w:val="26"/>
    </w:rPr>
  </w:style>
  <w:style w:type="character" w:customStyle="1" w:styleId="26">
    <w:name w:val="标题 6 Char"/>
    <w:basedOn w:val="18"/>
    <w:link w:val="7"/>
    <w:semiHidden/>
    <w:qFormat/>
    <w:uiPriority w:val="9"/>
    <w:rPr>
      <w:b/>
      <w:bCs/>
    </w:rPr>
  </w:style>
  <w:style w:type="character" w:customStyle="1" w:styleId="27">
    <w:name w:val="标题 7 Char"/>
    <w:basedOn w:val="18"/>
    <w:link w:val="8"/>
    <w:semiHidden/>
    <w:qFormat/>
    <w:uiPriority w:val="9"/>
    <w:rPr>
      <w:sz w:val="24"/>
      <w:szCs w:val="24"/>
    </w:rPr>
  </w:style>
  <w:style w:type="character" w:customStyle="1" w:styleId="28">
    <w:name w:val="标题 8 Char"/>
    <w:basedOn w:val="18"/>
    <w:link w:val="9"/>
    <w:semiHidden/>
    <w:qFormat/>
    <w:uiPriority w:val="9"/>
    <w:rPr>
      <w:i/>
      <w:iCs/>
      <w:sz w:val="24"/>
      <w:szCs w:val="24"/>
    </w:rPr>
  </w:style>
  <w:style w:type="character" w:customStyle="1" w:styleId="29">
    <w:name w:val="标题 9 Char"/>
    <w:basedOn w:val="18"/>
    <w:link w:val="10"/>
    <w:semiHidden/>
    <w:qFormat/>
    <w:uiPriority w:val="9"/>
    <w:rPr>
      <w:rFonts w:ascii="Cambria" w:hAnsi="Cambria" w:eastAsia="宋体"/>
    </w:rPr>
  </w:style>
  <w:style w:type="character" w:customStyle="1" w:styleId="30">
    <w:name w:val="批注框文本 Char"/>
    <w:basedOn w:val="18"/>
    <w:link w:val="11"/>
    <w:semiHidden/>
    <w:qFormat/>
    <w:uiPriority w:val="99"/>
    <w:rPr>
      <w:rFonts w:ascii="Times New Roman" w:hAnsi="Times New Roman" w:eastAsia="宋体"/>
      <w:kern w:val="2"/>
      <w:sz w:val="18"/>
      <w:szCs w:val="18"/>
    </w:rPr>
  </w:style>
  <w:style w:type="character" w:customStyle="1" w:styleId="31">
    <w:name w:val="页脚 Char"/>
    <w:basedOn w:val="18"/>
    <w:link w:val="12"/>
    <w:qFormat/>
    <w:uiPriority w:val="99"/>
    <w:rPr>
      <w:rFonts w:ascii="Calibri" w:hAnsi="Calibri" w:eastAsia="宋体"/>
      <w:kern w:val="2"/>
      <w:sz w:val="18"/>
      <w:szCs w:val="18"/>
    </w:rPr>
  </w:style>
  <w:style w:type="character" w:customStyle="1" w:styleId="32">
    <w:name w:val="页眉 Char"/>
    <w:basedOn w:val="18"/>
    <w:link w:val="13"/>
    <w:qFormat/>
    <w:uiPriority w:val="99"/>
    <w:rPr>
      <w:rFonts w:ascii="Calibri" w:hAnsi="Calibri" w:eastAsia="宋体"/>
      <w:kern w:val="2"/>
      <w:sz w:val="18"/>
      <w:szCs w:val="18"/>
    </w:rPr>
  </w:style>
  <w:style w:type="character" w:customStyle="1" w:styleId="33">
    <w:name w:val="副标题 Char"/>
    <w:basedOn w:val="18"/>
    <w:link w:val="14"/>
    <w:qFormat/>
    <w:uiPriority w:val="11"/>
    <w:rPr>
      <w:rFonts w:ascii="Cambria" w:hAnsi="Cambria" w:eastAsia="宋体"/>
      <w:sz w:val="24"/>
      <w:szCs w:val="24"/>
    </w:rPr>
  </w:style>
  <w:style w:type="character" w:customStyle="1" w:styleId="34">
    <w:name w:val="标题 Char"/>
    <w:basedOn w:val="18"/>
    <w:link w:val="16"/>
    <w:qFormat/>
    <w:uiPriority w:val="10"/>
    <w:rPr>
      <w:rFonts w:ascii="Cambria" w:hAnsi="Cambria" w:eastAsia="宋体"/>
      <w:b/>
      <w:bCs/>
      <w:kern w:val="28"/>
      <w:sz w:val="32"/>
      <w:szCs w:val="32"/>
    </w:rPr>
  </w:style>
  <w:style w:type="paragraph" w:styleId="35">
    <w:name w:val="No Spacing"/>
    <w:basedOn w:val="1"/>
    <w:qFormat/>
    <w:uiPriority w:val="1"/>
    <w:pPr>
      <w:widowControl/>
      <w:jc w:val="left"/>
    </w:pPr>
    <w:rPr>
      <w:rFonts w:ascii="Calibri" w:hAnsi="Calibri" w:eastAsia="宋体"/>
      <w:kern w:val="0"/>
      <w:sz w:val="24"/>
      <w:szCs w:val="32"/>
      <w:lang w:eastAsia="en-US" w:bidi="en-US"/>
    </w:rPr>
  </w:style>
  <w:style w:type="paragraph" w:styleId="36">
    <w:name w:val="List Paragraph"/>
    <w:basedOn w:val="1"/>
    <w:qFormat/>
    <w:uiPriority w:val="34"/>
    <w:pPr>
      <w:widowControl/>
      <w:ind w:left="720"/>
      <w:contextualSpacing/>
      <w:jc w:val="left"/>
    </w:pPr>
    <w:rPr>
      <w:rFonts w:ascii="Calibri" w:hAnsi="Calibri" w:eastAsia="宋体"/>
      <w:kern w:val="0"/>
      <w:sz w:val="24"/>
      <w:lang w:eastAsia="en-US" w:bidi="en-US"/>
    </w:rPr>
  </w:style>
  <w:style w:type="paragraph" w:styleId="37">
    <w:name w:val="Quote"/>
    <w:basedOn w:val="1"/>
    <w:next w:val="1"/>
    <w:link w:val="38"/>
    <w:qFormat/>
    <w:uiPriority w:val="29"/>
    <w:pPr>
      <w:widowControl/>
      <w:jc w:val="left"/>
    </w:pPr>
    <w:rPr>
      <w:rFonts w:ascii="Calibri" w:hAnsi="Calibri" w:eastAsia="宋体"/>
      <w:i/>
      <w:kern w:val="0"/>
      <w:sz w:val="24"/>
    </w:rPr>
  </w:style>
  <w:style w:type="character" w:customStyle="1" w:styleId="38">
    <w:name w:val="引用 Char"/>
    <w:basedOn w:val="18"/>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Calibri" w:hAnsi="Calibri" w:eastAsia="宋体"/>
      <w:b/>
      <w:i/>
      <w:kern w:val="0"/>
      <w:sz w:val="24"/>
      <w:szCs w:val="22"/>
    </w:rPr>
  </w:style>
  <w:style w:type="character" w:customStyle="1" w:styleId="40">
    <w:name w:val="明显引用 Char"/>
    <w:basedOn w:val="18"/>
    <w:link w:val="39"/>
    <w:qFormat/>
    <w:uiPriority w:val="30"/>
    <w:rPr>
      <w:b/>
      <w:i/>
      <w:sz w:val="24"/>
    </w:rPr>
  </w:style>
  <w:style w:type="character" w:customStyle="1" w:styleId="41">
    <w:name w:val="不明显强调1"/>
    <w:qFormat/>
    <w:uiPriority w:val="19"/>
    <w:rPr>
      <w:i/>
      <w:color w:val="585858"/>
    </w:rPr>
  </w:style>
  <w:style w:type="character" w:customStyle="1" w:styleId="42">
    <w:name w:val="明显强调1"/>
    <w:basedOn w:val="18"/>
    <w:qFormat/>
    <w:uiPriority w:val="21"/>
    <w:rPr>
      <w:b/>
      <w:i/>
      <w:sz w:val="24"/>
      <w:szCs w:val="24"/>
      <w:u w:val="single"/>
    </w:rPr>
  </w:style>
  <w:style w:type="character" w:customStyle="1" w:styleId="43">
    <w:name w:val="不明显参考1"/>
    <w:basedOn w:val="18"/>
    <w:qFormat/>
    <w:uiPriority w:val="31"/>
    <w:rPr>
      <w:sz w:val="24"/>
      <w:szCs w:val="24"/>
      <w:u w:val="single"/>
    </w:rPr>
  </w:style>
  <w:style w:type="character" w:customStyle="1" w:styleId="44">
    <w:name w:val="明显参考1"/>
    <w:basedOn w:val="18"/>
    <w:qFormat/>
    <w:uiPriority w:val="32"/>
    <w:rPr>
      <w:b/>
      <w:sz w:val="24"/>
      <w:u w:val="single"/>
    </w:rPr>
  </w:style>
  <w:style w:type="character" w:customStyle="1" w:styleId="45">
    <w:name w:val="书籍标题1"/>
    <w:basedOn w:val="18"/>
    <w:qFormat/>
    <w:uiPriority w:val="33"/>
    <w:rPr>
      <w:rFonts w:ascii="Cambria" w:hAnsi="Cambria" w:eastAsia="宋体"/>
      <w:b/>
      <w:i/>
      <w:sz w:val="24"/>
      <w:szCs w:val="24"/>
    </w:rPr>
  </w:style>
  <w:style w:type="paragraph" w:customStyle="1" w:styleId="46">
    <w:name w:val="TOC 标题1"/>
    <w:basedOn w:val="2"/>
    <w:next w:val="1"/>
    <w:unhideWhenUsed/>
    <w:qFormat/>
    <w:uiPriority w:val="39"/>
    <w:pPr>
      <w:outlineLvl w:val="9"/>
    </w:pPr>
    <w:rPr>
      <w:lang w:eastAsia="en-US" w:bidi="en-US"/>
    </w:rPr>
  </w:style>
  <w:style w:type="paragraph" w:customStyle="1" w:styleId="47">
    <w:name w:val="无间隔1"/>
    <w:basedOn w:val="1"/>
    <w:next w:val="4"/>
    <w:qFormat/>
    <w:uiPriority w:val="0"/>
    <w:pPr>
      <w:jc w:val="left"/>
    </w:pPr>
    <w:rPr>
      <w:kern w:val="0"/>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877</Words>
  <Characters>4999</Characters>
  <Lines>41</Lines>
  <Paragraphs>11</Paragraphs>
  <TotalTime>2</TotalTime>
  <ScaleCrop>false</ScaleCrop>
  <LinksUpToDate>false</LinksUpToDate>
  <CharactersWithSpaces>5865</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2023-04-11T11:09:00Z</dcterms:created>
  <dc:creator>赵 恺（预算处）</dc:creator>
  <cp:lastModifiedBy>Administrator</cp:lastModifiedBy>
  <cp:lastPrinted>2018-12-31T10:56:00Z</cp:lastPrinted>
  <dcterms:modified xsi:type="dcterms:W3CDTF">2024-08-26T11:49:43Z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45014CDF6EDD4D2B86386AA540FEF97C_13</vt:lpwstr>
  </property>
</Properties>
</file>