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w:t>
      </w:r>
      <w:r>
        <w:rPr>
          <w:rFonts w:hint="eastAsia" w:ascii="仿宋_GB2312" w:hAnsi="宋体" w:eastAsia="仿宋_GB2312"/>
          <w:b/>
          <w:sz w:val="32"/>
          <w:szCs w:val="32"/>
          <w:lang w:eastAsia="zh-CN"/>
        </w:rPr>
        <w:t>3</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left="3913" w:leftChars="406" w:hanging="3060" w:hangingChars="850"/>
        <w:jc w:val="left"/>
        <w:rPr>
          <w:rFonts w:hint="eastAsia" w:hAnsi="宋体" w:eastAsia="仿宋_GB2312" w:cs="宋体"/>
          <w:kern w:val="0"/>
          <w:sz w:val="36"/>
          <w:szCs w:val="36"/>
        </w:rPr>
      </w:pPr>
      <w:r>
        <w:rPr>
          <w:rFonts w:hint="eastAsia" w:hAnsi="宋体" w:eastAsia="仿宋_GB2312" w:cs="宋体"/>
          <w:kern w:val="0"/>
          <w:sz w:val="36"/>
          <w:szCs w:val="36"/>
        </w:rPr>
        <w:t>部门单位名称（公章）：中国国际贸易促进委员会新疆维吾尔自治区委员会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填报时间：202</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eastAsia="zh-CN"/>
        </w:rPr>
        <w:t>12</w:t>
      </w:r>
      <w:r>
        <w:rPr>
          <w:rFonts w:hint="eastAsia" w:hAnsi="宋体" w:eastAsia="仿宋_GB2312" w:cs="宋体"/>
          <w:kern w:val="0"/>
          <w:sz w:val="36"/>
          <w:szCs w:val="36"/>
        </w:rPr>
        <w:t>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widowControl/>
        <w:jc w:val="center"/>
      </w:pPr>
      <w:r>
        <w:br w:type="page"/>
      </w:r>
    </w:p>
    <w:p>
      <w:pPr>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为认真落实自治区财政厅关于开展202</w:t>
      </w:r>
      <w:r>
        <w:rPr>
          <w:rFonts w:hint="default" w:ascii="Times New Roman" w:hAnsi="Times New Roman" w:eastAsia="仿宋_GB2312" w:cs="Times New Roman"/>
          <w:sz w:val="32"/>
          <w:szCs w:val="32"/>
          <w:lang w:eastAsia="zh-CN"/>
        </w:rPr>
        <w:t>3</w:t>
      </w:r>
      <w:r>
        <w:rPr>
          <w:rFonts w:hint="default" w:ascii="Times New Roman" w:hAnsi="Times New Roman" w:eastAsia="仿宋_GB2312" w:cs="Times New Roman"/>
          <w:sz w:val="32"/>
          <w:szCs w:val="32"/>
        </w:rPr>
        <w:t>年度自治区部门单位整体支出预算绩效管理的工作安排，按照全方位、全过程、全覆盖预算绩效管理要求，将单位整体支出预算纳入全过程绩效管理，进一步强化绩效理念，提高财政资金使用效益，现将我单位202</w:t>
      </w:r>
      <w:r>
        <w:rPr>
          <w:rFonts w:hint="default" w:ascii="Times New Roman" w:hAnsi="Times New Roman" w:eastAsia="仿宋_GB2312" w:cs="Times New Roman"/>
          <w:sz w:val="32"/>
          <w:szCs w:val="32"/>
          <w:lang w:eastAsia="zh-CN"/>
        </w:rPr>
        <w:t>3</w:t>
      </w:r>
      <w:r>
        <w:rPr>
          <w:rFonts w:hint="default" w:ascii="Times New Roman" w:hAnsi="Times New Roman" w:eastAsia="仿宋_GB2312" w:cs="Times New Roman"/>
          <w:sz w:val="32"/>
          <w:szCs w:val="32"/>
        </w:rPr>
        <w:t>年整体支出绩效评价如下：</w:t>
      </w:r>
    </w:p>
    <w:p>
      <w:pPr>
        <w:pageBreakBefore w:val="0"/>
        <w:kinsoku/>
        <w:wordWrap/>
        <w:overflowPunct/>
        <w:topLinePunct w:val="0"/>
        <w:autoSpaceDE/>
        <w:autoSpaceDN/>
        <w:bidi w:val="0"/>
        <w:adjustRightInd/>
        <w:snapToGrid/>
        <w:spacing w:before="0" w:after="0" w:line="560" w:lineRule="exact"/>
        <w:ind w:left="420" w:leftChars="200" w:firstLine="640" w:firstLineChars="200"/>
        <w:jc w:val="both"/>
        <w:textAlignment w:val="auto"/>
        <w:outlineLvl w:val="9"/>
        <w:rPr>
          <w:rFonts w:ascii="黑体" w:hAnsi="黑体" w:eastAsia="黑体"/>
          <w:sz w:val="32"/>
          <w:szCs w:val="32"/>
        </w:rPr>
      </w:pPr>
      <w:bookmarkStart w:id="0" w:name="_Toc100329896"/>
      <w:r>
        <w:rPr>
          <w:rFonts w:hint="eastAsia" w:ascii="黑体" w:hAnsi="黑体" w:eastAsia="黑体"/>
          <w:sz w:val="32"/>
          <w:szCs w:val="32"/>
        </w:rPr>
        <w:t>一、基本概况</w:t>
      </w:r>
      <w:bookmarkEnd w:id="0"/>
    </w:p>
    <w:p>
      <w:pPr>
        <w:pageBreakBefore w:val="0"/>
        <w:kinsoku/>
        <w:wordWrap/>
        <w:overflowPunct/>
        <w:topLinePunct w:val="0"/>
        <w:autoSpaceDE/>
        <w:autoSpaceDN/>
        <w:bidi w:val="0"/>
        <w:adjustRightInd/>
        <w:snapToGrid/>
        <w:spacing w:before="0" w:after="0" w:line="560" w:lineRule="exact"/>
        <w:ind w:left="420" w:leftChars="200" w:firstLine="640" w:firstLineChars="200"/>
        <w:jc w:val="both"/>
        <w:textAlignment w:val="auto"/>
        <w:outlineLvl w:val="9"/>
        <w:rPr>
          <w:rFonts w:hint="eastAsia" w:ascii="楷体_GB2312" w:hAnsi="楷体_GB2312" w:eastAsia="楷体_GB2312" w:cs="楷体_GB2312"/>
          <w:b w:val="0"/>
          <w:bCs/>
          <w:sz w:val="32"/>
          <w:szCs w:val="32"/>
        </w:rPr>
      </w:pPr>
      <w:bookmarkStart w:id="1" w:name="_Hlk43849111"/>
      <w:bookmarkEnd w:id="1"/>
      <w:bookmarkStart w:id="2" w:name="_Toc100329897"/>
      <w:r>
        <w:rPr>
          <w:rFonts w:hint="eastAsia" w:ascii="楷体_GB2312" w:hAnsi="楷体_GB2312" w:eastAsia="楷体_GB2312" w:cs="楷体_GB2312"/>
          <w:b w:val="0"/>
          <w:bCs/>
          <w:sz w:val="32"/>
          <w:szCs w:val="32"/>
        </w:rPr>
        <w:t>（一）部门单位基本情况</w:t>
      </w:r>
      <w:bookmarkEnd w:id="2"/>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1、机构人员构成</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新疆贸促会202</w:t>
      </w:r>
      <w:r>
        <w:rPr>
          <w:rFonts w:hint="default" w:ascii="Times New Roman" w:hAnsi="Times New Roman" w:eastAsia="仿宋_GB2312" w:cs="Times New Roman"/>
          <w:sz w:val="32"/>
          <w:szCs w:val="32"/>
          <w:lang w:eastAsia="zh-CN"/>
        </w:rPr>
        <w:t>3</w:t>
      </w:r>
      <w:r>
        <w:rPr>
          <w:rFonts w:hint="default" w:ascii="Times New Roman" w:hAnsi="Times New Roman" w:eastAsia="仿宋_GB2312" w:cs="Times New Roman"/>
          <w:sz w:val="32"/>
          <w:szCs w:val="32"/>
        </w:rPr>
        <w:t>年人员编制数36人，实有在职人员2</w:t>
      </w:r>
      <w:r>
        <w:rPr>
          <w:rFonts w:hint="default" w:ascii="Times New Roman" w:hAnsi="Times New Roman" w:eastAsia="仿宋_GB2312" w:cs="Times New Roman"/>
          <w:sz w:val="32"/>
          <w:szCs w:val="32"/>
          <w:lang w:eastAsia="zh-CN"/>
        </w:rPr>
        <w:t>8</w:t>
      </w:r>
      <w:r>
        <w:rPr>
          <w:rFonts w:hint="default" w:ascii="Times New Roman" w:hAnsi="Times New Roman" w:eastAsia="仿宋_GB2312" w:cs="Times New Roman"/>
          <w:sz w:val="32"/>
          <w:szCs w:val="32"/>
        </w:rPr>
        <w:t>人，离休人员0人， 退休人员2</w:t>
      </w:r>
      <w:r>
        <w:rPr>
          <w:rFonts w:hint="default" w:ascii="Times New Roman" w:hAnsi="Times New Roman" w:eastAsia="仿宋_GB2312" w:cs="Times New Roman"/>
          <w:sz w:val="32"/>
          <w:szCs w:val="32"/>
          <w:lang w:eastAsia="zh-CN"/>
        </w:rPr>
        <w:t>2</w:t>
      </w:r>
      <w:r>
        <w:rPr>
          <w:rFonts w:hint="default" w:ascii="Times New Roman" w:hAnsi="Times New Roman" w:eastAsia="仿宋_GB2312" w:cs="Times New Roman"/>
          <w:sz w:val="32"/>
          <w:szCs w:val="32"/>
        </w:rPr>
        <w:t>人。内设科室为6个部（室）,分别为办公室、机关党委（人事部）、会务信息部、国际合作部、展览部、法律事务部（中国贸促会新疆调解中心）。</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2、主要职能</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中国国际贸易促进委员会新疆维吾尔自治区委员会（以下简称新疆贸促会）是自治区党委领导的群团组织和自治区人民政府直属的贸易投资促进机构，业务工作接受中国贸促会的指导。主要职责是：</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（1）根据国家和自治区对外经贸工作的方针政策,促进对外经贸活动,促进扩大进出口贸易和投资,促进中外经济技术交流与合作;发挥民间外交的独特作用,开展同世界各国的经贸交往。</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邀请和接待外国经贸界人士和代表团来访;组织新疆经济贸易代表团出国访问与考察,与有关国际组织、区域性组织及各国贸促机构和商协会开展交流与合作;组织或参与全区大型的招商引资活动,做好全区国际招商引资的促进工作;组织、参加或与外国相应机构联合召开有关经济贸易技术合作和法律方面的国际会议;负责与外国对口组织在疆设立的代表机构以及外国在疆成立的商会进行联络;向外国派遣常驻代表或设立代表处;促进新疆与香港、澳门特别行政区及台湾地区的经贸交流。</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根据国家贸促会和自治区人民政府授权,协调、管理自治区出国举办经济贸易展览会;代表新疆出国举办经贸展览会、洽谈会;代表新疆参加国际展览局的活动,组织新疆企业参加国际经贸展览会;参加国家贸促会在国外和境内举办的各种展览活动;负责安排或主办国外来疆经贸展览会及其他经贸展览会;审批新疆贸促会系统在自治区境内举办的对外经济技术展览会; 促进新疆与香港、澳门特别行政区及台湾地区的经贸交流。协助举办中国-亚欧博览会、亚欧商品贸易博览会。</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出具在疆出口商品原产地证明书和代办人力不可抗拒证明,签发和认证对外贸易和运输业务的文件和单证;代办涉外商贸文件的领事认证业务,承担暂准进出口货物单证册（ATA）的出证和担保工作;代办企业在国外或外国公司和个人在自治区办理专利申请和商标注册工作;调解涉外经济贸易纠纷;代理或办理国际国内仲裁事务的申请和咨询服务;受理有关涉外工业产权、知识产权争议的法律服务及技术贸易工作。</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宣传有关涉外经贸政策、法规和国际贸易惯例;推介新疆投资环境、合作项目及出口产品;开展国内外经贸状况、企业资信的调查研究;进行经贸信息的收集、整理、传6递和发布工作;编撰对外经贸报刊、电子出版物和其他出版物;组织中外经贸界的信息交流和贸易活动;承办中外经济技术合作项目的评估和可行性研究以及有关咨询工作。</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负责对各地贸促支会（国际商会）、行业支会的协调、指导、联系和服务工作;为会员企业和其他企业提供服务;审核和办理有关出国人员（团组）证件等;监督指导所属单位的财务工作;承担《中国贸易报》新疆记者站的日常工作。</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（7）办理国家贸促会和自治区人民政府授权或交办的其他工作。</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3、202</w:t>
      </w:r>
      <w:r>
        <w:rPr>
          <w:rFonts w:hint="default" w:ascii="Times New Roman" w:hAnsi="Times New Roman" w:eastAsia="仿宋_GB2312" w:cs="Times New Roman"/>
          <w:b w:val="0"/>
          <w:bCs w:val="0"/>
          <w:sz w:val="32"/>
          <w:szCs w:val="32"/>
          <w:lang w:eastAsia="zh-CN"/>
        </w:rPr>
        <w:t>3</w:t>
      </w:r>
      <w:r>
        <w:rPr>
          <w:rFonts w:hint="default" w:ascii="Times New Roman" w:hAnsi="Times New Roman" w:eastAsia="仿宋_GB2312" w:cs="Times New Roman"/>
          <w:b w:val="0"/>
          <w:bCs w:val="0"/>
          <w:sz w:val="32"/>
          <w:szCs w:val="32"/>
        </w:rPr>
        <w:t>年度单位重点工作计划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2023年是乘势而上奋斗“十四五”、开启新征程的重要一年，更是新疆迎来经济高质量发</w:t>
      </w:r>
      <w:bookmarkStart w:id="24" w:name="_GoBack"/>
      <w:bookmarkEnd w:id="24"/>
      <w:r>
        <w:rPr>
          <w:rFonts w:hint="default" w:ascii="Times New Roman" w:hAnsi="Times New Roman" w:eastAsia="仿宋_GB2312" w:cs="Times New Roman"/>
          <w:b w:val="0"/>
          <w:bCs w:val="0"/>
          <w:color w:val="000000"/>
          <w:sz w:val="32"/>
          <w:szCs w:val="32"/>
        </w:rPr>
        <w:t>展的重大机遇之年。全会上下在自治区党委、政府的正确领导下，在中国贸促会的大力支持下，围绕中心、服务大局，凝心聚力、笃行实干、担当作为、开拓创新，顺利地完成了工作任务。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color w:val="000000"/>
          <w:sz w:val="32"/>
          <w:szCs w:val="32"/>
          <w:lang w:bidi="zh-TW"/>
        </w:rPr>
        <w:t>全力筹办一批重大经贸活动。</w:t>
      </w:r>
      <w:r>
        <w:rPr>
          <w:rFonts w:hint="default" w:ascii="Times New Roman" w:hAnsi="Times New Roman" w:eastAsia="仿宋_GB2312" w:cs="Times New Roman"/>
          <w:b w:val="0"/>
          <w:bCs w:val="0"/>
          <w:sz w:val="32"/>
          <w:szCs w:val="32"/>
        </w:rPr>
        <w:t>圆满完成首次贸促系统新疆工作座谈会暨中国国际商会会员企业“新疆行”活动，成功举办首届中国-中亚仲裁论坛暨中亚庭审中心揭牌仪式，组织举办哈萨克斯坦自由贸易工业园专场推介会、中国（新疆）-乌兹别克斯坦经贸交流会、中国（新疆）-吉尔吉斯斯坦地方间企业家合作对接会、中国（新疆）-吉尔吉斯斯坦商贸推介会，为中外工商界搭建起面对面沟通了解、零距离洽谈合作的国际性平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color w:val="000000"/>
          <w:sz w:val="32"/>
          <w:szCs w:val="32"/>
          <w:lang w:bidi="zh-TW"/>
        </w:rPr>
        <w:t>积极“走出去”扩大国际朋友圈。</w:t>
      </w:r>
      <w:r>
        <w:rPr>
          <w:rFonts w:hint="default" w:ascii="Times New Roman" w:hAnsi="Times New Roman" w:eastAsia="仿宋_GB2312" w:cs="Times New Roman"/>
          <w:b w:val="0"/>
          <w:bCs w:val="0"/>
          <w:sz w:val="32"/>
          <w:szCs w:val="32"/>
        </w:rPr>
        <w:t>在乌兹别克斯坦塔什干市成功举办2023（第十二届）乌兹别克斯坦—中国新疆商品展览会，定于12月在格鲁吉亚举办2023（第九届）格鲁吉亚—中国新疆商品展览会，先后组织我区企业跟随自治区代表团和中国贸促会出访沙特阿拉伯、俄罗斯、伊朗、卡塔尔、哈萨克斯坦、匈牙利、塞浦路斯、埃及、阿尔及利亚、香港、澳门等11个国家和地区，签署11份合作协议；新设中吉、中乌商务理事会新疆联络办公室，筹建中国（新疆）—吉尔吉斯斯坦实业家委员会，加入中国-非洲联合工商会中方理事会，拓展更多“请进来”平台和渠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持续做好服务企业工作。编写《中亚五国营商环境报告》，帮助新疆企业准确认知与客观评估营商环境；积极组织企业参加中国—中亚五国实业家委员会成立大会、全球贸易投资促进峰会、粤港澳大湾区建设工商大会、全球工商法治大会、“一带一路”企业家大会、中国国际供应链博览会、2023（第57届）香港工展会等重大经贸活动和展会，助力新疆企业开拓国内外市场；围绕新疆外资企业经营现状及政策建议和商事法律服务课题深入开展调研，形成调研报告，为企业发展建言献策；组织外资企业座谈会，协调推进困难诉求解决，助力营商环境优化。</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不断提升商事法律服务水平。持续做好出证认证工作，1-9月签发非优惠原产地证书共计25602份，涉及金额合计211亿人民币，协助申领优惠原产地证93份，涉及金额4288万人民币，协助申领RCEP证书8份；组织克州、喀什、伊犁等地州市签证点参加培训考试，进一步织密签证服务网络；成功争取国际化仲裁机构贸仲委中亚庭审中心落户新疆，引入国际争议解决机构为企业提供就近商事法律服务</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bookmarkStart w:id="3" w:name="_Toc100329898"/>
      <w:r>
        <w:rPr>
          <w:rFonts w:hint="eastAsia" w:ascii="楷体_GB2312" w:hAnsi="楷体_GB2312" w:eastAsia="楷体_GB2312" w:cs="楷体_GB2312"/>
          <w:b w:val="0"/>
          <w:bCs/>
          <w:sz w:val="32"/>
          <w:szCs w:val="32"/>
        </w:rPr>
        <w:t>（二）单位整体支出规模、使用方法和主要内容及涉及范围</w:t>
      </w:r>
      <w:bookmarkEnd w:id="3"/>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1、整体支出规模</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年初自治区财政批复我单位部门预算为</w:t>
      </w:r>
      <w:r>
        <w:rPr>
          <w:rFonts w:hint="default" w:ascii="Times New Roman" w:hAnsi="Times New Roman" w:eastAsia="仿宋_GB2312" w:cs="Times New Roman"/>
          <w:color w:val="000000"/>
          <w:sz w:val="32"/>
          <w:szCs w:val="32"/>
        </w:rPr>
        <w:t>878.97</w:t>
      </w:r>
      <w:r>
        <w:rPr>
          <w:rFonts w:hint="default" w:ascii="Times New Roman" w:hAnsi="Times New Roman" w:eastAsia="仿宋_GB2312" w:cs="Times New Roman"/>
          <w:sz w:val="32"/>
          <w:szCs w:val="32"/>
        </w:rPr>
        <w:t>万元，全年预算收入</w:t>
      </w:r>
      <w:r>
        <w:rPr>
          <w:rFonts w:hint="default" w:ascii="Times New Roman" w:hAnsi="Times New Roman" w:eastAsia="仿宋_GB2312" w:cs="Times New Roman"/>
          <w:sz w:val="32"/>
          <w:szCs w:val="32"/>
          <w:lang w:val="en-US" w:eastAsia="zh-CN"/>
        </w:rPr>
        <w:t>1154.84</w:t>
      </w:r>
      <w:r>
        <w:rPr>
          <w:rFonts w:hint="default" w:ascii="Times New Roman" w:hAnsi="Times New Roman" w:eastAsia="仿宋_GB2312" w:cs="Times New Roman"/>
          <w:sz w:val="32"/>
          <w:szCs w:val="32"/>
        </w:rPr>
        <w:t>万元；202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年实际决算支出</w:t>
      </w:r>
      <w:r>
        <w:rPr>
          <w:rFonts w:hint="default" w:ascii="Times New Roman" w:hAnsi="Times New Roman" w:eastAsia="仿宋_GB2312" w:cs="Times New Roman"/>
          <w:color w:val="000000"/>
          <w:sz w:val="32"/>
          <w:szCs w:val="32"/>
        </w:rPr>
        <w:t>1141.43</w:t>
      </w:r>
      <w:r>
        <w:rPr>
          <w:rFonts w:hint="default" w:ascii="Times New Roman" w:hAnsi="Times New Roman" w:eastAsia="仿宋_GB2312" w:cs="Times New Roman"/>
          <w:sz w:val="32"/>
          <w:szCs w:val="32"/>
        </w:rPr>
        <w:t>万元，其</w:t>
      </w:r>
      <w:r>
        <w:rPr>
          <w:rFonts w:hint="default" w:ascii="Times New Roman" w:hAnsi="Times New Roman" w:eastAsia="仿宋_GB2312" w:cs="Times New Roman"/>
          <w:color w:val="000000"/>
          <w:sz w:val="32"/>
          <w:szCs w:val="32"/>
        </w:rPr>
        <w:t>其中工资福利支出623.11万元</w:t>
      </w:r>
      <w:r>
        <w:rPr>
          <w:rFonts w:hint="default" w:ascii="Times New Roman" w:hAnsi="Times New Roman" w:eastAsia="仿宋_GB2312" w:cs="Times New Roman"/>
          <w:sz w:val="32"/>
          <w:szCs w:val="32"/>
        </w:rPr>
        <w:t>和</w:t>
      </w:r>
      <w:r>
        <w:rPr>
          <w:rFonts w:hint="default" w:ascii="Times New Roman" w:hAnsi="Times New Roman" w:eastAsia="仿宋_GB2312" w:cs="Times New Roman"/>
          <w:color w:val="000000"/>
          <w:sz w:val="32"/>
          <w:szCs w:val="32"/>
        </w:rPr>
        <w:t>商品和服务支出460.57万元</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sz w:val="32"/>
          <w:szCs w:val="32"/>
        </w:rPr>
        <w:t>对个人和家庭的补助支出43.97万元</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sz w:val="32"/>
          <w:szCs w:val="32"/>
        </w:rPr>
        <w:t>资本性支出13.77万元</w:t>
      </w:r>
      <w:r>
        <w:rPr>
          <w:rFonts w:hint="default" w:ascii="Times New Roman" w:hAnsi="Times New Roman" w:eastAsia="仿宋_GB2312" w:cs="Times New Roman"/>
          <w:sz w:val="32"/>
          <w:szCs w:val="32"/>
        </w:rPr>
        <w:t>。上述决算支出</w:t>
      </w:r>
      <w:r>
        <w:rPr>
          <w:rFonts w:hint="default" w:ascii="Times New Roman" w:hAnsi="Times New Roman" w:eastAsia="仿宋_GB2312" w:cs="Times New Roman"/>
          <w:sz w:val="32"/>
          <w:szCs w:val="32"/>
          <w:lang w:val="en-US" w:eastAsia="zh-CN"/>
        </w:rPr>
        <w:t>1141.43</w:t>
      </w:r>
      <w:r>
        <w:rPr>
          <w:rFonts w:hint="default" w:ascii="Times New Roman" w:hAnsi="Times New Roman" w:eastAsia="仿宋_GB2312" w:cs="Times New Roman"/>
          <w:sz w:val="32"/>
          <w:szCs w:val="32"/>
        </w:rPr>
        <w:t>万元中，基本支出</w:t>
      </w:r>
      <w:r>
        <w:rPr>
          <w:rFonts w:hint="default" w:ascii="Times New Roman" w:hAnsi="Times New Roman" w:eastAsia="仿宋_GB2312" w:cs="Times New Roman"/>
          <w:kern w:val="10"/>
          <w:sz w:val="32"/>
          <w:szCs w:val="32"/>
          <w:lang w:eastAsia="zh-CN"/>
        </w:rPr>
        <w:t>748.48</w:t>
      </w:r>
      <w:r>
        <w:rPr>
          <w:rFonts w:hint="default" w:ascii="Times New Roman" w:hAnsi="Times New Roman" w:eastAsia="仿宋_GB2312" w:cs="Times New Roman"/>
          <w:sz w:val="32"/>
          <w:szCs w:val="32"/>
        </w:rPr>
        <w:t>万元，项目支出</w:t>
      </w:r>
      <w:r>
        <w:rPr>
          <w:rFonts w:hint="default" w:ascii="Times New Roman" w:hAnsi="Times New Roman" w:eastAsia="仿宋_GB2312" w:cs="Times New Roman"/>
          <w:kern w:val="10"/>
          <w:sz w:val="32"/>
          <w:szCs w:val="32"/>
          <w:lang w:eastAsia="zh-CN"/>
        </w:rPr>
        <w:t>392.95</w:t>
      </w:r>
      <w:r>
        <w:rPr>
          <w:rFonts w:hint="default" w:ascii="Times New Roman" w:hAnsi="Times New Roman" w:eastAsia="仿宋_GB2312" w:cs="Times New Roman"/>
          <w:sz w:val="32"/>
          <w:szCs w:val="32"/>
        </w:rPr>
        <w:t>万元。</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2、整体支出使用情况</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基本支出由财政部门按照进度每月分期拨付，人员支出按照工资计划发放工资；涉及资金支出按照我单位内控体系中设定的流程申报审批进行；项目支出属于政府采购的，组织人员制定采购计划，进行公开招标、邀请招标等方式进行；属于非政府采购的项目，按照“三重一大”制度规定，重大项目支出上党组会研究决定。</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3、整体支出主要内容及涉及范围</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基本支出包括：人员支出和公用支出。公用经费主要包括：办公费、手续费、水费、电费、邮电费、取暖费、差旅费、公务接待费、工会经费、福利费、公务用车运行维护费、其他交通费用、其他商品和服务支出等。</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项目支出包括主要用于办公费、印刷费、物业管理费、差旅费、维护费、劳务费、委托业务费、其他资本性支出、其他商品和服务支出等。</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黑体" w:hAnsi="黑体" w:eastAsia="黑体"/>
          <w:sz w:val="32"/>
          <w:szCs w:val="32"/>
        </w:rPr>
      </w:pPr>
      <w:bookmarkStart w:id="4" w:name="_Toc100329899"/>
      <w:r>
        <w:rPr>
          <w:rFonts w:hint="eastAsia" w:ascii="黑体" w:hAnsi="黑体" w:eastAsia="黑体"/>
          <w:sz w:val="32"/>
          <w:szCs w:val="32"/>
        </w:rPr>
        <w:t>二、部门单位整体支出管理及使用情况</w:t>
      </w:r>
      <w:bookmarkEnd w:id="4"/>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bookmarkStart w:id="5" w:name="_Toc100329900"/>
      <w:r>
        <w:rPr>
          <w:rFonts w:hint="eastAsia" w:ascii="楷体_GB2312" w:hAnsi="楷体_GB2312" w:eastAsia="楷体_GB2312" w:cs="楷体_GB2312"/>
          <w:b w:val="0"/>
          <w:bCs/>
          <w:sz w:val="32"/>
          <w:szCs w:val="32"/>
        </w:rPr>
        <w:t>（一）基本支出管理及使用情况</w:t>
      </w:r>
      <w:bookmarkEnd w:id="5"/>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基本支出主要用于日常工作运转开支,包括人员的工资福利支出、商品和服务支出、对个人和家庭的补助支出。人员经费的开支主要是按照人事部门工资系统核定的工资额进行发放,公用经费按照厉行节约的原则规范资金使用流程, 尤其是“三公"经费严格控制在预算指标内。接待费的报销必须附有接待公函、接待审批单及接待清单，在政府采购网站采购机票,车辆运行开支由办公室统一安排调配使用。</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年基本支出年初预算</w:t>
      </w:r>
      <w:r>
        <w:rPr>
          <w:rFonts w:hint="default" w:ascii="Times New Roman" w:hAnsi="Times New Roman" w:eastAsia="仿宋_GB2312" w:cs="Times New Roman"/>
          <w:kern w:val="10"/>
          <w:sz w:val="32"/>
          <w:szCs w:val="32"/>
          <w:lang w:eastAsia="zh-CN"/>
        </w:rPr>
        <w:t>744.65</w:t>
      </w:r>
      <w:r>
        <w:rPr>
          <w:rFonts w:hint="default" w:ascii="Times New Roman" w:hAnsi="Times New Roman" w:eastAsia="仿宋_GB2312" w:cs="Times New Roman"/>
          <w:sz w:val="32"/>
          <w:szCs w:val="32"/>
        </w:rPr>
        <w:t>万元，全年预算</w:t>
      </w:r>
      <w:r>
        <w:rPr>
          <w:rFonts w:hint="default" w:ascii="Times New Roman" w:hAnsi="Times New Roman" w:eastAsia="仿宋_GB2312" w:cs="Times New Roman"/>
          <w:kern w:val="10"/>
          <w:sz w:val="32"/>
          <w:szCs w:val="32"/>
          <w:lang w:eastAsia="zh-CN"/>
        </w:rPr>
        <w:t>748.48</w:t>
      </w:r>
      <w:r>
        <w:rPr>
          <w:rFonts w:hint="default" w:ascii="Times New Roman" w:hAnsi="Times New Roman" w:eastAsia="仿宋_GB2312" w:cs="Times New Roman"/>
          <w:sz w:val="32"/>
          <w:szCs w:val="32"/>
        </w:rPr>
        <w:t>万元。</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bookmarkStart w:id="6" w:name="_Toc100329901"/>
      <w:r>
        <w:rPr>
          <w:rFonts w:hint="eastAsia" w:ascii="楷体_GB2312" w:hAnsi="楷体_GB2312" w:eastAsia="楷体_GB2312" w:cs="楷体_GB2312"/>
          <w:b w:val="0"/>
          <w:bCs/>
          <w:sz w:val="32"/>
          <w:szCs w:val="32"/>
        </w:rPr>
        <w:t>（二）项目支出管理及使用情况</w:t>
      </w:r>
      <w:bookmarkEnd w:id="6"/>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专项经费按照《自治区本级项目支出预算管理办法》和《新疆贸促会财务管理制度》中的专项资金管理规定进行管理。在新疆贸促会财务管理制度对项目预算的编报及项目资金使用做了明确的规定。由于本单位人员少，只有6个部（室），项目资金没有按部门进行分解，日常执行按照业务工作的进度开支。</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年预算安排专项资金</w:t>
      </w:r>
      <w:r>
        <w:rPr>
          <w:rFonts w:hint="default" w:ascii="Times New Roman" w:hAnsi="Times New Roman" w:eastAsia="仿宋_GB2312" w:cs="Times New Roman"/>
          <w:kern w:val="10"/>
          <w:sz w:val="32"/>
          <w:szCs w:val="32"/>
          <w:lang w:eastAsia="zh-CN"/>
        </w:rPr>
        <w:t>392.95</w:t>
      </w:r>
      <w:r>
        <w:rPr>
          <w:rFonts w:hint="default" w:ascii="Times New Roman" w:hAnsi="Times New Roman" w:eastAsia="仿宋_GB2312" w:cs="Times New Roman"/>
          <w:sz w:val="32"/>
          <w:szCs w:val="32"/>
        </w:rPr>
        <w:t>万元（其中财政拨款</w:t>
      </w:r>
      <w:r>
        <w:rPr>
          <w:rFonts w:hint="default" w:ascii="Times New Roman" w:hAnsi="Times New Roman" w:eastAsia="仿宋_GB2312" w:cs="Times New Roman"/>
          <w:sz w:val="32"/>
          <w:szCs w:val="32"/>
          <w:lang w:val="en-US" w:eastAsia="zh-CN"/>
        </w:rPr>
        <w:t>327.32</w:t>
      </w:r>
      <w:r>
        <w:rPr>
          <w:rFonts w:hint="default" w:ascii="Times New Roman" w:hAnsi="Times New Roman" w:eastAsia="仿宋_GB2312" w:cs="Times New Roman"/>
          <w:sz w:val="32"/>
          <w:szCs w:val="32"/>
        </w:rPr>
        <w:t>万元），实际收到</w:t>
      </w:r>
      <w:r>
        <w:rPr>
          <w:rFonts w:hint="default" w:ascii="Times New Roman" w:hAnsi="Times New Roman" w:eastAsia="仿宋_GB2312" w:cs="Times New Roman"/>
          <w:sz w:val="32"/>
          <w:szCs w:val="32"/>
          <w:lang w:val="en-US" w:eastAsia="zh-CN"/>
        </w:rPr>
        <w:t>327.32</w:t>
      </w:r>
      <w:r>
        <w:rPr>
          <w:rFonts w:hint="default" w:ascii="Times New Roman" w:hAnsi="Times New Roman" w:eastAsia="仿宋_GB2312" w:cs="Times New Roman"/>
          <w:sz w:val="32"/>
          <w:szCs w:val="32"/>
        </w:rPr>
        <w:t>万元。</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bookmarkStart w:id="7" w:name="_Toc100329902"/>
      <w:r>
        <w:rPr>
          <w:rFonts w:hint="eastAsia" w:ascii="楷体_GB2312" w:hAnsi="楷体_GB2312" w:eastAsia="楷体_GB2312" w:cs="楷体_GB2312"/>
          <w:b w:val="0"/>
          <w:bCs/>
          <w:sz w:val="32"/>
          <w:szCs w:val="32"/>
        </w:rPr>
        <w:t>（三）“三公”经费使用情况</w:t>
      </w:r>
      <w:bookmarkEnd w:id="7"/>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我单位认真贯彻落实中央关于厉行节约的有关规定，严格执行《党政机关厉行节约反对浪费条例》，从严控制一般性支出。</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年“三公”经费预算数为26.8万元，其中，公务接待费0.8万元，公务用车购置及运行费8万元（其中公务用车购置为0万元），因公出国（境）费18万元。</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年“三公”经费决算支出93.03万元，其中公务接待费5.99万元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因公出国（境）费用79.04万元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sz w:val="32"/>
          <w:szCs w:val="32"/>
        </w:rPr>
        <w:t>主要原因是根据自治区党委、人民政府工作安排，参与出国工作；公务接待费增加5.2</w:t>
      </w:r>
      <w:r>
        <w:rPr>
          <w:rFonts w:hint="default" w:ascii="Times New Roman" w:hAnsi="Times New Roman" w:eastAsia="仿宋_GB2312" w:cs="Times New Roman"/>
          <w:sz w:val="32"/>
          <w:szCs w:val="32"/>
        </w:rPr>
        <w:t>万</w:t>
      </w:r>
      <w:r>
        <w:rPr>
          <w:rFonts w:hint="default" w:ascii="Times New Roman" w:hAnsi="Times New Roman" w:eastAsia="仿宋_GB2312" w:cs="Times New Roman"/>
          <w:color w:val="000000"/>
          <w:sz w:val="32"/>
          <w:szCs w:val="32"/>
        </w:rPr>
        <w:t>元，主要原因是根据自治区党委、人民政府工作安排，接待外宾等工作；公务用车购置费0</w:t>
      </w:r>
      <w:r>
        <w:rPr>
          <w:rFonts w:hint="default" w:ascii="Times New Roman" w:hAnsi="Times New Roman" w:eastAsia="仿宋_GB2312" w:cs="Times New Roman"/>
          <w:sz w:val="32"/>
          <w:szCs w:val="32"/>
        </w:rPr>
        <w:t>万</w:t>
      </w:r>
      <w:r>
        <w:rPr>
          <w:rFonts w:hint="default" w:ascii="Times New Roman" w:hAnsi="Times New Roman" w:eastAsia="仿宋_GB2312" w:cs="Times New Roman"/>
          <w:color w:val="000000"/>
          <w:sz w:val="32"/>
          <w:szCs w:val="32"/>
        </w:rPr>
        <w:t>元，公务用车运行维护费</w:t>
      </w:r>
      <w:r>
        <w:rPr>
          <w:rFonts w:hint="default" w:ascii="Times New Roman" w:hAnsi="Times New Roman" w:eastAsia="仿宋_GB2312" w:cs="Times New Roman"/>
          <w:sz w:val="32"/>
          <w:szCs w:val="32"/>
        </w:rPr>
        <w:t>与年初预算数</w:t>
      </w:r>
      <w:r>
        <w:rPr>
          <w:rFonts w:hint="default" w:ascii="Times New Roman" w:hAnsi="Times New Roman" w:eastAsia="仿宋_GB2312" w:cs="Times New Roman"/>
          <w:color w:val="000000"/>
          <w:sz w:val="32"/>
          <w:szCs w:val="32"/>
        </w:rPr>
        <w:t>持平。</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黑体" w:hAnsi="黑体" w:eastAsia="黑体"/>
          <w:sz w:val="32"/>
          <w:szCs w:val="32"/>
        </w:rPr>
      </w:pPr>
      <w:bookmarkStart w:id="8" w:name="_Toc100329903"/>
      <w:r>
        <w:rPr>
          <w:rFonts w:hint="eastAsia" w:ascii="黑体" w:hAnsi="黑体" w:eastAsia="黑体"/>
          <w:sz w:val="32"/>
          <w:szCs w:val="32"/>
        </w:rPr>
        <w:t>三、部门单位专项组织实施情况</w:t>
      </w:r>
      <w:bookmarkEnd w:id="8"/>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bookmarkStart w:id="9" w:name="_Toc100329904"/>
      <w:r>
        <w:rPr>
          <w:rFonts w:hint="eastAsia" w:ascii="楷体_GB2312" w:hAnsi="楷体_GB2312" w:eastAsia="楷体_GB2312" w:cs="楷体_GB2312"/>
          <w:b w:val="0"/>
          <w:bCs/>
          <w:sz w:val="32"/>
          <w:szCs w:val="32"/>
        </w:rPr>
        <w:t>（一）专项组织情况分析</w:t>
      </w:r>
      <w:bookmarkEnd w:id="9"/>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一是专项前期准备工作：下达专项工作任务，拟定工作方案，收集整理相关资料，准备开展各项专项工作。</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二是专项组织实施过程：以内控体系建设为抓手,进一步完善财务制度,规范收支流程,严格审批制度。严格执行各项财经制度和管理规定,对预算资金严格控制,规范使用,强化执行。加强专项资金的管理和核算,专项资金严格按照年初预算和项目实施方案执行。接受各项财务检查中未发现重大管理漏洞和问题, 并通过检查推进财务规范化管理。</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bookmarkStart w:id="10" w:name="_Toc100329905"/>
      <w:r>
        <w:rPr>
          <w:rFonts w:hint="eastAsia" w:ascii="楷体_GB2312" w:hAnsi="楷体_GB2312" w:eastAsia="楷体_GB2312" w:cs="楷体_GB2312"/>
          <w:b w:val="0"/>
          <w:bCs/>
          <w:sz w:val="32"/>
          <w:szCs w:val="32"/>
        </w:rPr>
        <w:t>（二）专项管理情况分析</w:t>
      </w:r>
      <w:bookmarkEnd w:id="10"/>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1、设立专项的政策依据</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依据《中国国际贸易促进委员会新疆分会（中国新疆国际商会）会员手册》、新政办发〔2002〕75号、新贸促发〔2007〕4号、财税〔2014〕101号等。</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2、项目资金情况分析</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（1）资金到位及资金使用情况</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我单位共有</w:t>
      </w:r>
      <w:r>
        <w:rPr>
          <w:rFonts w:hint="default" w:ascii="Times New Roman" w:hAnsi="Times New Roman" w:eastAsia="仿宋_GB2312" w:cs="Times New Roman"/>
          <w:b w:val="0"/>
          <w:bCs w:val="0"/>
          <w:sz w:val="32"/>
          <w:szCs w:val="32"/>
          <w:lang w:val="en-US" w:eastAsia="zh-CN"/>
        </w:rPr>
        <w:t>9</w:t>
      </w:r>
      <w:r>
        <w:rPr>
          <w:rFonts w:hint="default" w:ascii="Times New Roman" w:hAnsi="Times New Roman" w:eastAsia="仿宋_GB2312" w:cs="Times New Roman"/>
          <w:b w:val="0"/>
          <w:bCs w:val="0"/>
          <w:sz w:val="32"/>
          <w:szCs w:val="32"/>
          <w:lang w:eastAsia="zh-CN"/>
        </w:rPr>
        <w:t>项</w:t>
      </w:r>
      <w:r>
        <w:rPr>
          <w:rFonts w:hint="default" w:ascii="Times New Roman" w:hAnsi="Times New Roman" w:eastAsia="仿宋_GB2312" w:cs="Times New Roman"/>
          <w:b w:val="0"/>
          <w:bCs w:val="0"/>
          <w:sz w:val="32"/>
          <w:szCs w:val="32"/>
        </w:rPr>
        <w:t>专项，总投入共计</w:t>
      </w:r>
      <w:r>
        <w:rPr>
          <w:rFonts w:hint="default" w:ascii="Times New Roman" w:hAnsi="Times New Roman" w:eastAsia="仿宋_GB2312" w:cs="Times New Roman"/>
          <w:b w:val="0"/>
          <w:bCs w:val="0"/>
          <w:sz w:val="32"/>
          <w:szCs w:val="32"/>
          <w:lang w:val="en-US" w:eastAsia="zh-CN"/>
        </w:rPr>
        <w:t>392.95</w:t>
      </w:r>
      <w:r>
        <w:rPr>
          <w:rFonts w:hint="default" w:ascii="Times New Roman" w:hAnsi="Times New Roman" w:eastAsia="仿宋_GB2312" w:cs="Times New Roman"/>
          <w:b w:val="0"/>
          <w:bCs w:val="0"/>
          <w:sz w:val="32"/>
          <w:szCs w:val="32"/>
        </w:rPr>
        <w:t>万元，资金全部到位，使用区本级财政资金</w:t>
      </w:r>
      <w:r>
        <w:rPr>
          <w:rFonts w:hint="default" w:ascii="Times New Roman" w:hAnsi="Times New Roman" w:eastAsia="仿宋_GB2312" w:cs="Times New Roman"/>
          <w:b w:val="0"/>
          <w:bCs w:val="0"/>
          <w:sz w:val="32"/>
          <w:szCs w:val="32"/>
          <w:lang w:val="en-US" w:eastAsia="zh-CN"/>
        </w:rPr>
        <w:t>327.33</w:t>
      </w:r>
      <w:r>
        <w:rPr>
          <w:rFonts w:hint="default" w:ascii="Times New Roman" w:hAnsi="Times New Roman" w:eastAsia="仿宋_GB2312" w:cs="Times New Roman"/>
          <w:b w:val="0"/>
          <w:bCs w:val="0"/>
          <w:sz w:val="32"/>
          <w:szCs w:val="32"/>
        </w:rPr>
        <w:t>万元，中央（自治区）转移支付0万元，自有</w:t>
      </w:r>
      <w:r>
        <w:rPr>
          <w:rFonts w:hint="default" w:ascii="Times New Roman" w:hAnsi="Times New Roman" w:eastAsia="仿宋_GB2312" w:cs="Times New Roman"/>
          <w:b w:val="0"/>
          <w:bCs w:val="0"/>
          <w:sz w:val="32"/>
          <w:szCs w:val="32"/>
          <w:lang w:val="en-US" w:eastAsia="zh-CN"/>
        </w:rPr>
        <w:t>65.62</w:t>
      </w:r>
      <w:r>
        <w:rPr>
          <w:rFonts w:hint="default" w:ascii="Times New Roman" w:hAnsi="Times New Roman" w:eastAsia="仿宋_GB2312" w:cs="Times New Roman"/>
          <w:b w:val="0"/>
          <w:bCs w:val="0"/>
          <w:sz w:val="32"/>
          <w:szCs w:val="32"/>
        </w:rPr>
        <w:t>万元。资金使用共</w:t>
      </w:r>
      <w:r>
        <w:rPr>
          <w:rFonts w:hint="default" w:ascii="Times New Roman" w:hAnsi="Times New Roman" w:eastAsia="仿宋_GB2312" w:cs="Times New Roman"/>
          <w:b w:val="0"/>
          <w:bCs w:val="0"/>
          <w:sz w:val="32"/>
          <w:szCs w:val="32"/>
          <w:lang w:val="en-US" w:eastAsia="zh-CN"/>
        </w:rPr>
        <w:t>392.95</w:t>
      </w:r>
      <w:r>
        <w:rPr>
          <w:rFonts w:hint="default" w:ascii="Times New Roman" w:hAnsi="Times New Roman" w:eastAsia="仿宋_GB2312" w:cs="Times New Roman"/>
          <w:b w:val="0"/>
          <w:bCs w:val="0"/>
          <w:sz w:val="32"/>
          <w:szCs w:val="32"/>
        </w:rPr>
        <w:t>万元，执行率100%。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（2）资金管理情况</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202</w:t>
      </w:r>
      <w:r>
        <w:rPr>
          <w:rFonts w:hint="default"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rPr>
        <w:t>年，项目依据《自治区本级项目支出预算管理办法》和《新疆贸促会财务管理制度》中的专项资金管理规定进行管理。在新疆贸促会财务管理制度对项目预算的编报及项目资金使用做了明确的规定。由于本单位人员少，只有6个部（室），资金规模小，项目资金没有按部门进行分解，日常执行按照业务工作的进度开支。</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3、项目实施情况分析</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（1）组织情况</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按照项目工作内容、工作措施、工作时限和要达到的预期效果，进一步分解细化，将责任落实到岗位，形成完整的绩效管理工作方案和指标考核评价体系，使部门专项工作任务与绩效评价指标紧密结合起来，推动各项工作落实。</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（2）管理情况</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我单位严格遵守《会计法》、《预算法》、《行政单位财务规则》等法律和有关财政财务规章，规范财政资金管理，量入为出，统筹兼顾，突出重点，讲究实效，防范风险，合理使用各项资金，确保了我单位预算管理的成效，全年预算支出整体受控。</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一是严格规范资金收支审批制度。明确和划分人员责任，细化资金支付审批权限及审批流程，强化资金收支的内部控制，对重要的财务支出项目，应实施重点审批、严格审批；确保资金支出的内容和数据真实，各类经济事项符合开支标准和范围，符合效益性和节约性原则。</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二是强化预算约束。推行全面预算理念，在科学合理编制部门预算的基础上，对部门预算中各项经费进一步细化，分类施控，严格执行，实现对经济活动全程管控，确保所有工作都在预算范围内有序进行，以此强化预算源头管控和精细化管理。</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三是强化流程管理。推进全面流程化管理，在专项资金分配、预算编制、财务审批和报销、资产管理、经济合同管理及政府采购等方面，都实施流程化、规范化管理模式，编制了财务管理操作流程，并设置了项目立项审议、大额资金通报、经济合同审批等环节，以财务管理为“牛鼻子”，全面提高单位内部管理水平。</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四是强化集中采购。树立全面节约意识，严控一般性经费支出。特别是在办公设备购置和办公用品使用方面，新修订了《新疆贸促会政府采购管理办法》。按照厉行节约、统筹调剂、合理使用的原则，加强审核，严控支出，并逐步取得了一定成效。</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（3）监管情况</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新疆贸促会预算绩效管理办法（试行）。明确了项目资金管理的原则，对项目申报、项目的审核和确定、项目的实施和管理、验收、结果公示和资金拨付情况、绩效管理等进行了规范。建立了沟通联系机制，组织调研，明确项目任务，制定项目实施方案。按季度对项目执行情况进行监测，定期对项目开展情况进行绩效考核，加快项目的实施。</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4、成本控制情况分析</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我单位严格按照项目资金用途使用资金做到专款专用。充分认识到项目资金的重要性和特殊性,以高度的责任感和使命感管好用好每一分钱,使资金的安排、使用发挥出最大效益,实现项目绩效目标。</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5、项目效率性分析</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202</w:t>
      </w:r>
      <w:r>
        <w:rPr>
          <w:rFonts w:hint="default"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rPr>
        <w:t>年积极组织企业通过线上和线下结合的方式参加境内外的各类博览会、展览会、推介会、论坛等活动，积极植入新疆元素、表达新疆观点，为新疆企业开展国际化经营发展营造了良好外部环境。我单位项目均按进度实施，202</w:t>
      </w:r>
      <w:r>
        <w:rPr>
          <w:rFonts w:hint="default"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rPr>
        <w:t>年度绩效目标指标均已100%完成。</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6、项目效益性分析</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（1）预期目标完成程度</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数量指标：</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参加博览会、展会、贸促业务会及调研批次，预期指标值18次，指标完成值18次，指标完成率100%；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业务系统软硬件运维数量，预期指标值2套，指标完成值2套，指标完成率100%；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签证企业数，预期指标值1310家，指标完成值1310家，指标完成率100%；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保障办公人员数量，预期指标值&gt;=2</w:t>
      </w:r>
      <w:r>
        <w:rPr>
          <w:rFonts w:hint="default" w:ascii="Times New Roman" w:hAnsi="Times New Roman" w:eastAsia="仿宋_GB2312" w:cs="Times New Roman"/>
          <w:b w:val="0"/>
          <w:bCs w:val="0"/>
          <w:sz w:val="32"/>
          <w:szCs w:val="32"/>
          <w:lang w:val="en-US" w:eastAsia="zh-CN"/>
        </w:rPr>
        <w:t>8</w:t>
      </w:r>
      <w:r>
        <w:rPr>
          <w:rFonts w:hint="default" w:ascii="Times New Roman" w:hAnsi="Times New Roman" w:eastAsia="仿宋_GB2312" w:cs="Times New Roman"/>
          <w:b w:val="0"/>
          <w:bCs w:val="0"/>
          <w:sz w:val="32"/>
          <w:szCs w:val="32"/>
        </w:rPr>
        <w:t>人，指标完成值29人，指标完成率100%；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发放工资等人数，预期指标值&gt;=2</w:t>
      </w:r>
      <w:r>
        <w:rPr>
          <w:rFonts w:hint="default" w:ascii="Times New Roman" w:hAnsi="Times New Roman" w:eastAsia="仿宋_GB2312" w:cs="Times New Roman"/>
          <w:b w:val="0"/>
          <w:bCs w:val="0"/>
          <w:sz w:val="32"/>
          <w:szCs w:val="32"/>
          <w:lang w:val="en-US" w:eastAsia="zh-CN"/>
        </w:rPr>
        <w:t>8</w:t>
      </w:r>
      <w:r>
        <w:rPr>
          <w:rFonts w:hint="default" w:ascii="Times New Roman" w:hAnsi="Times New Roman" w:eastAsia="仿宋_GB2312" w:cs="Times New Roman"/>
          <w:b w:val="0"/>
          <w:bCs w:val="0"/>
          <w:sz w:val="32"/>
          <w:szCs w:val="32"/>
        </w:rPr>
        <w:t>人，指标完成值2</w:t>
      </w:r>
      <w:r>
        <w:rPr>
          <w:rFonts w:hint="default" w:ascii="Times New Roman" w:hAnsi="Times New Roman" w:eastAsia="仿宋_GB2312" w:cs="Times New Roman"/>
          <w:b w:val="0"/>
          <w:bCs w:val="0"/>
          <w:sz w:val="32"/>
          <w:szCs w:val="32"/>
          <w:lang w:val="en-US" w:eastAsia="zh-CN"/>
        </w:rPr>
        <w:t>8</w:t>
      </w:r>
      <w:r>
        <w:rPr>
          <w:rFonts w:hint="default" w:ascii="Times New Roman" w:hAnsi="Times New Roman" w:eastAsia="仿宋_GB2312" w:cs="Times New Roman"/>
          <w:b w:val="0"/>
          <w:bCs w:val="0"/>
          <w:sz w:val="32"/>
          <w:szCs w:val="32"/>
        </w:rPr>
        <w:t>人，指标完成率100%；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支付工资、社保、公积金次数。预期指标值12次，指标完成值12次，指标完成率100%；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质量指标：</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业务工作会议及调研工作完成率，预期指标值≥90%，指标完成值100%，指标完成率100%;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业务系统故障率，预期指标值&lt;=15%，指标完成值&lt;=15%，指标完成率100%;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时效指标：</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业务工作会议及调研工作按期完成率，预期指标值=100%，指标完成值100%;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系统故障修复处理时间，预期指标值&lt;=3天，指标完成值&lt;=3天，指标完成率100%;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系统运行维护响应时间，预期指标值&lt;=24小时，指标完成值&lt;=24小时，指标完成率100%;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出证认证完成及时率，预期指标值&gt;=90%，指标完成值=100%，指标完成率100%;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工资发放及时率，预期指标值&gt;=95%，指标完成值=100%，指标完成率100%;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成本指标：</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年度维护成本增长率，预期指标值&lt;=30%，指标完成值&lt;=30%，指标完成率100%;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人均运转经费数，预期指标值&lt;=2.52万元，指标完成值2.45万元，指标完成率100%;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每次支付工资、社保、公积金等资金数，预期指标值&lt;=35.92万元，指标完成值&lt;=35.92万元，指标完成率100%;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参加博览会、展会及调研经费，预期指标值&lt;=20万元，指标完成值&lt;=20万元，指标完成率100%;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签证企业业务经费，预期指标值&lt;=33万元，指标完成值&lt;=33万元，指标完成率100%;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社会效益指标：</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提供良好履职基础，提高业务服务能力，预期指标值明显提高，指标完成值明显提高，指标完成率100%。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商事法律服务能力，预期指标值明显提高，指标完成值明显提高，指标完成率100%。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企业贸易应对能力，预期指标值明显提高，指标完成值明显提高，指标完成率100%。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满意度指标：</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工作人员满意度，预期指标值≥90%，指标完成值≥90%，指标完成率100%。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参与企业满意度，预期指标值≥90%，指标完成值≥90%，指标完成率100%。</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（2）实施对经济和社会的影响</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根据国家和自治区对外经贸工作的方针政策，促进对外经贸活动的统筹规划和综合协调;督促对外经济政策的落实，推广以“一带一路”建设为重点加大开放力度，提高服务政府、服务企业、服务社会的水平；指导帮助企业走出去开拓国际市场;推动资源和力量配备向一线延伸、向海外延伸、向网上延伸，实现创新发展、上下联动的工作体系。</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黑体" w:hAnsi="黑体" w:eastAsia="黑体"/>
          <w:sz w:val="32"/>
          <w:szCs w:val="32"/>
        </w:rPr>
      </w:pPr>
      <w:bookmarkStart w:id="11" w:name="_Toc100329906"/>
      <w:r>
        <w:rPr>
          <w:rFonts w:hint="eastAsia" w:ascii="黑体" w:hAnsi="黑体" w:eastAsia="黑体"/>
          <w:sz w:val="32"/>
          <w:szCs w:val="32"/>
        </w:rPr>
        <w:t>四、资产管理情况</w:t>
      </w:r>
      <w:bookmarkEnd w:id="11"/>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bookmarkStart w:id="12" w:name="_Toc100329907"/>
      <w:r>
        <w:rPr>
          <w:rFonts w:hint="eastAsia" w:ascii="楷体_GB2312" w:hAnsi="楷体_GB2312" w:eastAsia="楷体_GB2312" w:cs="楷体_GB2312"/>
          <w:b w:val="0"/>
          <w:bCs/>
          <w:sz w:val="32"/>
          <w:szCs w:val="32"/>
        </w:rPr>
        <w:t>（一）资产管理体制和制度建设方面</w:t>
      </w:r>
      <w:bookmarkEnd w:id="12"/>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ascii="仿宋" w:hAnsi="仿宋" w:eastAsia="仿宋"/>
          <w:sz w:val="32"/>
          <w:szCs w:val="32"/>
        </w:rPr>
      </w:pPr>
      <w:r>
        <w:rPr>
          <w:rFonts w:hint="eastAsia" w:ascii="仿宋_GB2312" w:hAnsi="仿宋_GB2312" w:eastAsia="仿宋_GB2312" w:cs="仿宋_GB2312"/>
          <w:sz w:val="32"/>
          <w:szCs w:val="32"/>
        </w:rPr>
        <w:t>成立了由一把手负总责的“资产管理领导小组”，具体负责本单位资产的采购、分配、清查，以及资产使用、维护过程中的监督任务。建立健全资产管理制度，合理配备并节约、有效使用资产，提高资产使用效率，保障资产的安全和完整。管理和使用坚持统一政策、统一领导、分级管理、职责到人、物尽其用的原则。资产办公室负责对单位资产管理进行指导和监督，对纳入政府采购范围的资产进行统一购置。各科室确定专人负责资产的日常管理工作，包括资产的登记、统计、维护、保管等，并对所管资产的安全完整负有职责。资产管理人员应相对稳定，工作调动时务必办理交接手续。</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bookmarkStart w:id="13" w:name="_Toc100329908"/>
      <w:r>
        <w:rPr>
          <w:rFonts w:hint="eastAsia" w:ascii="楷体_GB2312" w:hAnsi="楷体_GB2312" w:eastAsia="楷体_GB2312" w:cs="楷体_GB2312"/>
          <w:b w:val="0"/>
          <w:bCs/>
          <w:sz w:val="32"/>
          <w:szCs w:val="32"/>
        </w:rPr>
        <w:t>（二）运行机制和管理方式</w:t>
      </w:r>
      <w:bookmarkEnd w:id="13"/>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公设备由办公室设置专人进行实物卡片管理及使用状况监督；资产管理由财务部门进行价值核算并设置专人进行资产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bookmarkStart w:id="14" w:name="_Toc100329909"/>
      <w:r>
        <w:rPr>
          <w:rFonts w:hint="eastAsia" w:ascii="楷体_GB2312" w:hAnsi="楷体_GB2312" w:eastAsia="楷体_GB2312" w:cs="楷体_GB2312"/>
          <w:b w:val="0"/>
          <w:bCs/>
          <w:sz w:val="32"/>
          <w:szCs w:val="32"/>
        </w:rPr>
        <w:t>（三）信息化建设方面</w:t>
      </w:r>
      <w:bookmarkEnd w:id="14"/>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通过用行政事业单位资产管理软件严格管理资产，包括卡片的增加、删除、查询、打印、汇总等。正确、全面、及时地记录资产的增加、减少、使用等状况，真实地反映和监督资产的增减变动和实际状况，建立健全了资产账簿体系。</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bookmarkStart w:id="15" w:name="_Toc100329910"/>
      <w:r>
        <w:rPr>
          <w:rFonts w:hint="eastAsia" w:ascii="楷体_GB2312" w:hAnsi="楷体_GB2312" w:eastAsia="楷体_GB2312" w:cs="楷体_GB2312"/>
          <w:b w:val="0"/>
          <w:bCs/>
          <w:sz w:val="32"/>
          <w:szCs w:val="32"/>
        </w:rPr>
        <w:t>（四）流动资产的管理</w:t>
      </w:r>
      <w:bookmarkEnd w:id="15"/>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流动资产严格按照我单位内控体系要求进行管理，无备用金，单位货币资金管理由财务</w:t>
      </w:r>
      <w:r>
        <w:rPr>
          <w:rFonts w:hint="eastAsia" w:ascii="仿宋_GB2312" w:hAnsi="仿宋_GB2312" w:eastAsia="仿宋_GB2312" w:cs="仿宋_GB2312"/>
          <w:sz w:val="32"/>
          <w:szCs w:val="32"/>
          <w:lang w:eastAsia="zh-CN"/>
        </w:rPr>
        <w:t>人员</w:t>
      </w:r>
      <w:r>
        <w:rPr>
          <w:rFonts w:hint="eastAsia" w:ascii="仿宋_GB2312" w:hAnsi="仿宋_GB2312" w:eastAsia="仿宋_GB2312" w:cs="仿宋_GB2312"/>
          <w:sz w:val="32"/>
          <w:szCs w:val="32"/>
        </w:rPr>
        <w:t>每月与银行进行对</w:t>
      </w:r>
      <w:r>
        <w:rPr>
          <w:rFonts w:hint="eastAsia" w:ascii="仿宋_GB2312" w:hAnsi="仿宋_GB2312" w:eastAsia="仿宋_GB2312" w:cs="仿宋_GB2312"/>
          <w:sz w:val="32"/>
          <w:szCs w:val="32"/>
          <w:lang w:eastAsia="zh-CN"/>
        </w:rPr>
        <w:t>账</w:t>
      </w:r>
      <w:r>
        <w:rPr>
          <w:rFonts w:hint="eastAsia" w:ascii="仿宋_GB2312" w:hAnsi="仿宋_GB2312" w:eastAsia="仿宋_GB2312" w:cs="仿宋_GB2312"/>
          <w:sz w:val="32"/>
          <w:szCs w:val="32"/>
        </w:rPr>
        <w:t>，并填写银行余额调节表。</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bookmarkStart w:id="16" w:name="_Toc100329911"/>
      <w:r>
        <w:rPr>
          <w:rFonts w:hint="eastAsia" w:ascii="楷体_GB2312" w:hAnsi="楷体_GB2312" w:eastAsia="楷体_GB2312" w:cs="楷体_GB2312"/>
          <w:b w:val="0"/>
          <w:bCs/>
          <w:sz w:val="32"/>
          <w:szCs w:val="32"/>
        </w:rPr>
        <w:t>（五）固定资产的管理</w:t>
      </w:r>
      <w:bookmarkEnd w:id="16"/>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的资产管理详细按照《新疆贸促会财务管理制度》的相关要求执行,符合财政部门要求。每年定期对单位固定资产进行盘点，对盘点过程中发生的盈亏，进行原因查找，并上报会党组研究决策，再向自治区财政厅资产处进行申报再行处理。</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黑体" w:hAnsi="黑体" w:eastAsia="黑体"/>
          <w:sz w:val="32"/>
          <w:szCs w:val="32"/>
        </w:rPr>
      </w:pPr>
      <w:bookmarkStart w:id="17" w:name="_Toc100329912"/>
      <w:r>
        <w:rPr>
          <w:rFonts w:hint="eastAsia" w:ascii="黑体" w:hAnsi="黑体" w:eastAsia="黑体"/>
          <w:sz w:val="32"/>
          <w:szCs w:val="32"/>
        </w:rPr>
        <w:t>五、部门单位整体支出绩效情况</w:t>
      </w:r>
      <w:bookmarkEnd w:id="17"/>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bookmarkStart w:id="18" w:name="_Toc100329913"/>
      <w:r>
        <w:rPr>
          <w:rFonts w:hint="eastAsia" w:ascii="楷体_GB2312" w:hAnsi="楷体_GB2312" w:eastAsia="楷体_GB2312" w:cs="楷体_GB2312"/>
          <w:b w:val="0"/>
          <w:bCs/>
          <w:sz w:val="32"/>
          <w:szCs w:val="32"/>
        </w:rPr>
        <w:t>（一）经济效益评价</w:t>
      </w:r>
      <w:bookmarkEnd w:id="18"/>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资金管理规范，项目管理到位，政策执行有力，有效发挥了财政资金的使用效率。1、预算执行方面，2023年财政拨款收入预决算差异率、其他收入预决算差异率、年初结转和结余预决算差异率、人员经费预决算差异率及“三公”经费支出预决算差异率比较大。2、预算管理方面，制度执行总体较为有效；3、资产管理方面，建立了资产管理制度，定期进行了盘点和资产清理，总体执行较好。</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bookmarkStart w:id="19" w:name="_Toc100329914"/>
      <w:r>
        <w:rPr>
          <w:rFonts w:hint="eastAsia" w:ascii="楷体_GB2312" w:hAnsi="楷体_GB2312" w:eastAsia="楷体_GB2312" w:cs="楷体_GB2312"/>
          <w:b w:val="0"/>
          <w:bCs/>
          <w:sz w:val="32"/>
          <w:szCs w:val="32"/>
        </w:rPr>
        <w:t>（二）效率性评价</w:t>
      </w:r>
      <w:bookmarkEnd w:id="19"/>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我单位工作实施及资金使用情况均在绩效目标设定时限完成。预算安排的基本支出保障了正常的工作运转，预算安排的项目支出非常必要，在执行上是严格遵守各项财经纪律，在项目资金的使用上也是放心的，严守法律底线、纪律底线、道德底线。</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bookmarkStart w:id="20" w:name="_Toc100329915"/>
      <w:r>
        <w:rPr>
          <w:rFonts w:hint="eastAsia" w:ascii="楷体_GB2312" w:hAnsi="楷体_GB2312" w:eastAsia="楷体_GB2312" w:cs="楷体_GB2312"/>
          <w:b w:val="0"/>
          <w:bCs/>
          <w:sz w:val="32"/>
          <w:szCs w:val="32"/>
        </w:rPr>
        <w:t>（三）有效性评价</w:t>
      </w:r>
      <w:bookmarkEnd w:id="20"/>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基本经费中人员经费支出、公用支出严格执行政府的各项制度，保障全单位工作正常运转，三公经费的使用严格控制在预算申报的范围内；在项目经费的使用上，在保证各项任务顺利完成的同时，严格落实厉行节约的原则。</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黑体" w:hAnsi="黑体" w:eastAsia="黑体"/>
          <w:sz w:val="32"/>
          <w:szCs w:val="32"/>
        </w:rPr>
      </w:pPr>
      <w:bookmarkStart w:id="21" w:name="_Toc100329916"/>
      <w:r>
        <w:rPr>
          <w:rFonts w:hint="eastAsia" w:ascii="黑体" w:hAnsi="黑体" w:eastAsia="黑体"/>
          <w:sz w:val="32"/>
          <w:szCs w:val="32"/>
        </w:rPr>
        <w:t>六、存在的主要问题</w:t>
      </w:r>
      <w:bookmarkEnd w:id="21"/>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（一）预算执行进度与绩效指标偏差</w:t>
      </w:r>
    </w:p>
    <w:p>
      <w:pPr>
        <w:pStyle w:val="24"/>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2023年财政拨款收入预决算差异率、其他收入预决算差异率、年初结转和结余预决算差异率、人员经费预决算差异率及“三公”经费支出预决算差异率比较大。</w:t>
      </w:r>
    </w:p>
    <w:p>
      <w:pPr>
        <w:pStyle w:val="24"/>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主要原因：根据自治区党委、人民政府工作安排，追加我单位年度考核奖</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中亚五国营商环境监测报告、二季度职业年金、访惠聚工作经费、新疆贸促会新疆行项目经费、贸促会外事项目经费等经费。</w:t>
      </w:r>
    </w:p>
    <w:p>
      <w:pPr>
        <w:pStyle w:val="24"/>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2023年要继续加强预算编制和绩效管理工作，提高预算准确率，加强预算执行，进一步提高资金使用率。</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（二）存在的主要问题</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1、预算绩效认识还不到位。在202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年预算绩效管理工作中，仍存在“重投入轻管理、重支出轻绩效”的情况，对全面实施预算绩效管理的要求认识还不到位。</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预算绩效管理水平仍有欠缺。面对专业人手不足、绩效管理水平欠缺的情况下，提升的空间较大。项目申报、实施等环节与预算绩效管理各个环节联系不够紧密，预算实施计划和使用资金所要达到的预期效果还不够具体、精准,分析手段和技术水平上还有待完善。</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黑体" w:hAnsi="黑体" w:eastAsia="黑体"/>
          <w:sz w:val="32"/>
          <w:szCs w:val="32"/>
        </w:rPr>
      </w:pPr>
      <w:bookmarkStart w:id="22" w:name="_Toc100329917"/>
      <w:r>
        <w:rPr>
          <w:rFonts w:hint="eastAsia" w:ascii="黑体" w:hAnsi="黑体" w:eastAsia="黑体"/>
          <w:sz w:val="32"/>
          <w:szCs w:val="32"/>
        </w:rPr>
        <w:t>七、改进措施和建议</w:t>
      </w:r>
      <w:bookmarkEnd w:id="22"/>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（一）加强政府会计制度和全面预算绩效管理学习培训。</w:t>
      </w:r>
      <w:r>
        <w:rPr>
          <w:rFonts w:hint="default" w:ascii="Times New Roman" w:hAnsi="Times New Roman" w:eastAsia="仿宋_GB2312" w:cs="Times New Roman"/>
          <w:sz w:val="32"/>
          <w:szCs w:val="32"/>
        </w:rPr>
        <w:t>规范账务处理，加强《政府会计制度》、《会计法》、《预算绩效管理制度》等学习培训,规范部门预算收支核算。一是制定和完善基本支出、项目支出等各项支出标准,严格按项目进度执行预算,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（二）从源头上强化对专项资金预算管理。</w:t>
      </w:r>
      <w:r>
        <w:rPr>
          <w:rFonts w:hint="eastAsia" w:ascii="仿宋_GB2312" w:hAnsi="仿宋_GB2312" w:eastAsia="仿宋_GB2312" w:cs="仿宋_GB2312"/>
          <w:sz w:val="32"/>
          <w:szCs w:val="32"/>
        </w:rPr>
        <w:t>实行专项资金预算管理，结合单位实际, 按轻重缓急统筹安排编制预算, 科学合理设定绩效目标，提高预算编制科学性和合理性,优化资金结构，充分发挥预算绩效管理工作效用。</w:t>
      </w:r>
    </w:p>
    <w:p>
      <w:pPr>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（三）进一步提高绩效管理水平</w:t>
      </w:r>
      <w:r>
        <w:rPr>
          <w:rFonts w:hint="eastAsia" w:ascii="仿宋" w:hAnsi="仿宋" w:eastAsia="仿宋"/>
          <w:sz w:val="32"/>
          <w:szCs w:val="32"/>
        </w:rPr>
        <w:t>。</w:t>
      </w:r>
      <w:r>
        <w:rPr>
          <w:rFonts w:hint="eastAsia" w:ascii="仿宋_GB2312" w:hAnsi="仿宋_GB2312" w:eastAsia="仿宋_GB2312" w:cs="仿宋_GB2312"/>
          <w:sz w:val="32"/>
          <w:szCs w:val="32"/>
        </w:rPr>
        <w:t>在今后的工作中,加强与财政部门的紧密配合,开展好整体支出及项目资金绩效管理工作,运用好绩效评价的结果,不断提升预算管理水平。</w:t>
      </w:r>
    </w:p>
    <w:p>
      <w:pPr>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黑体" w:hAnsi="黑体" w:eastAsia="黑体"/>
          <w:sz w:val="32"/>
          <w:szCs w:val="32"/>
        </w:rPr>
      </w:pPr>
      <w:bookmarkStart w:id="23" w:name="_Toc100329918"/>
      <w:r>
        <w:rPr>
          <w:rFonts w:hint="eastAsia" w:ascii="黑体" w:hAnsi="黑体" w:eastAsia="黑体"/>
          <w:sz w:val="32"/>
          <w:szCs w:val="32"/>
        </w:rPr>
        <w:t>八、附表：《部门整体支出绩效目标自评表》</w:t>
      </w:r>
      <w:bookmarkEnd w:id="23"/>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GungsuhChe">
    <w:panose1 w:val="02030609000101010101"/>
    <w:charset w:val="81"/>
    <w:family w:val="auto"/>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Nyala">
    <w:panose1 w:val="02000504070300020003"/>
    <w:charset w:val="00"/>
    <w:family w:val="auto"/>
    <w:pitch w:val="default"/>
    <w:sig w:usb0="A000006F" w:usb1="00000000" w:usb2="00000800" w:usb3="00000000" w:csb0="00000093" w:csb1="00000000"/>
  </w:font>
  <w:font w:name="Sakkal Majalla">
    <w:panose1 w:val="02000000000000000000"/>
    <w:charset w:val="00"/>
    <w:family w:val="auto"/>
    <w:pitch w:val="default"/>
    <w:sig w:usb0="A000207F" w:usb1="C000204B" w:usb2="00000008" w:usb3="00000000" w:csb0="200000D3"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56644"/>
      <w:docPartObj>
        <w:docPartGallery w:val="autotext"/>
      </w:docPartObj>
    </w:sdtPr>
    <w:sdtContent>
      <w:p>
        <w:pPr>
          <w:pStyle w:val="7"/>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jYzgyYzk0YTg2MzcyODhhZjM5ODM3ZmNmOGZhOGUifQ=="/>
  </w:docVars>
  <w:rsids>
    <w:rsidRoot w:val="00EB3604"/>
    <w:rsid w:val="00001CD2"/>
    <w:rsid w:val="000206B8"/>
    <w:rsid w:val="0002154C"/>
    <w:rsid w:val="00031CE3"/>
    <w:rsid w:val="00036EA8"/>
    <w:rsid w:val="00040C45"/>
    <w:rsid w:val="00042D01"/>
    <w:rsid w:val="00045A84"/>
    <w:rsid w:val="00046417"/>
    <w:rsid w:val="00046454"/>
    <w:rsid w:val="00054164"/>
    <w:rsid w:val="000662D4"/>
    <w:rsid w:val="00072C0E"/>
    <w:rsid w:val="00082DAB"/>
    <w:rsid w:val="00087660"/>
    <w:rsid w:val="00087E12"/>
    <w:rsid w:val="00095690"/>
    <w:rsid w:val="000977FD"/>
    <w:rsid w:val="000A0564"/>
    <w:rsid w:val="000A3AD6"/>
    <w:rsid w:val="000B66F3"/>
    <w:rsid w:val="000B7023"/>
    <w:rsid w:val="000B7385"/>
    <w:rsid w:val="000C4229"/>
    <w:rsid w:val="000C4D95"/>
    <w:rsid w:val="000D08C3"/>
    <w:rsid w:val="000D21BB"/>
    <w:rsid w:val="000E0C80"/>
    <w:rsid w:val="000E48D8"/>
    <w:rsid w:val="001112EC"/>
    <w:rsid w:val="00114459"/>
    <w:rsid w:val="001250F6"/>
    <w:rsid w:val="00126372"/>
    <w:rsid w:val="001361BC"/>
    <w:rsid w:val="00153A30"/>
    <w:rsid w:val="001560B0"/>
    <w:rsid w:val="0016002D"/>
    <w:rsid w:val="00160F40"/>
    <w:rsid w:val="00181E78"/>
    <w:rsid w:val="001875F8"/>
    <w:rsid w:val="00193FDA"/>
    <w:rsid w:val="001966C1"/>
    <w:rsid w:val="001967F9"/>
    <w:rsid w:val="00196CF1"/>
    <w:rsid w:val="001A4E60"/>
    <w:rsid w:val="001A56F5"/>
    <w:rsid w:val="001A747C"/>
    <w:rsid w:val="001B149C"/>
    <w:rsid w:val="001B26BC"/>
    <w:rsid w:val="001C12AE"/>
    <w:rsid w:val="001C3C04"/>
    <w:rsid w:val="001C6F19"/>
    <w:rsid w:val="001C7F2C"/>
    <w:rsid w:val="001D0BC3"/>
    <w:rsid w:val="001D7122"/>
    <w:rsid w:val="001E38DA"/>
    <w:rsid w:val="001E3A54"/>
    <w:rsid w:val="001E5988"/>
    <w:rsid w:val="001F2073"/>
    <w:rsid w:val="00205C06"/>
    <w:rsid w:val="00210584"/>
    <w:rsid w:val="002215C6"/>
    <w:rsid w:val="0022443C"/>
    <w:rsid w:val="00232006"/>
    <w:rsid w:val="0024439A"/>
    <w:rsid w:val="00254E6C"/>
    <w:rsid w:val="00261DB2"/>
    <w:rsid w:val="0026280A"/>
    <w:rsid w:val="00272F8D"/>
    <w:rsid w:val="0027731F"/>
    <w:rsid w:val="00281DCA"/>
    <w:rsid w:val="00283D23"/>
    <w:rsid w:val="0029705E"/>
    <w:rsid w:val="002A5212"/>
    <w:rsid w:val="002A6312"/>
    <w:rsid w:val="002A7D8E"/>
    <w:rsid w:val="002C5A94"/>
    <w:rsid w:val="002C6442"/>
    <w:rsid w:val="002D22F2"/>
    <w:rsid w:val="002D574B"/>
    <w:rsid w:val="002D7A7C"/>
    <w:rsid w:val="002F76D2"/>
    <w:rsid w:val="00302D47"/>
    <w:rsid w:val="0030688A"/>
    <w:rsid w:val="00331BF7"/>
    <w:rsid w:val="00335545"/>
    <w:rsid w:val="00340E58"/>
    <w:rsid w:val="0035056B"/>
    <w:rsid w:val="00372A57"/>
    <w:rsid w:val="00375583"/>
    <w:rsid w:val="00390CFC"/>
    <w:rsid w:val="0039160B"/>
    <w:rsid w:val="003A2B10"/>
    <w:rsid w:val="003A7F93"/>
    <w:rsid w:val="003B3034"/>
    <w:rsid w:val="003B6ABB"/>
    <w:rsid w:val="003C042C"/>
    <w:rsid w:val="003C7134"/>
    <w:rsid w:val="003C7E7C"/>
    <w:rsid w:val="003D1FCB"/>
    <w:rsid w:val="003D3290"/>
    <w:rsid w:val="003D5217"/>
    <w:rsid w:val="003E3D53"/>
    <w:rsid w:val="003E45AA"/>
    <w:rsid w:val="003E4A19"/>
    <w:rsid w:val="003F1E20"/>
    <w:rsid w:val="00434FFC"/>
    <w:rsid w:val="00446D3F"/>
    <w:rsid w:val="004606B1"/>
    <w:rsid w:val="004741F2"/>
    <w:rsid w:val="00486D63"/>
    <w:rsid w:val="004916C4"/>
    <w:rsid w:val="004A1E39"/>
    <w:rsid w:val="004A41E4"/>
    <w:rsid w:val="004A7FFA"/>
    <w:rsid w:val="004B4869"/>
    <w:rsid w:val="004C136C"/>
    <w:rsid w:val="004D43B8"/>
    <w:rsid w:val="004D7933"/>
    <w:rsid w:val="004E3BD2"/>
    <w:rsid w:val="004E5470"/>
    <w:rsid w:val="004E5919"/>
    <w:rsid w:val="004F013B"/>
    <w:rsid w:val="004F51A1"/>
    <w:rsid w:val="004F67CA"/>
    <w:rsid w:val="005007D3"/>
    <w:rsid w:val="00504F03"/>
    <w:rsid w:val="00526F52"/>
    <w:rsid w:val="00527879"/>
    <w:rsid w:val="0053316C"/>
    <w:rsid w:val="00540A12"/>
    <w:rsid w:val="005448AF"/>
    <w:rsid w:val="00545CD1"/>
    <w:rsid w:val="00570D3F"/>
    <w:rsid w:val="00572020"/>
    <w:rsid w:val="00577AFE"/>
    <w:rsid w:val="0058254C"/>
    <w:rsid w:val="00584481"/>
    <w:rsid w:val="0058490F"/>
    <w:rsid w:val="00592180"/>
    <w:rsid w:val="0059651F"/>
    <w:rsid w:val="00596BE6"/>
    <w:rsid w:val="005A46CA"/>
    <w:rsid w:val="005A587E"/>
    <w:rsid w:val="005C2DD0"/>
    <w:rsid w:val="005C4EE1"/>
    <w:rsid w:val="005D4491"/>
    <w:rsid w:val="005D7551"/>
    <w:rsid w:val="005E7ACA"/>
    <w:rsid w:val="005F483B"/>
    <w:rsid w:val="00606843"/>
    <w:rsid w:val="00614908"/>
    <w:rsid w:val="00614C54"/>
    <w:rsid w:val="0063773C"/>
    <w:rsid w:val="00637C3A"/>
    <w:rsid w:val="00646DB1"/>
    <w:rsid w:val="00653C1A"/>
    <w:rsid w:val="00667901"/>
    <w:rsid w:val="00675B8B"/>
    <w:rsid w:val="00680AC2"/>
    <w:rsid w:val="0068634A"/>
    <w:rsid w:val="00693987"/>
    <w:rsid w:val="006963FF"/>
    <w:rsid w:val="006A074A"/>
    <w:rsid w:val="006A34E0"/>
    <w:rsid w:val="006A4FAA"/>
    <w:rsid w:val="006B3C16"/>
    <w:rsid w:val="006C1E18"/>
    <w:rsid w:val="006E4985"/>
    <w:rsid w:val="006E6759"/>
    <w:rsid w:val="006F1296"/>
    <w:rsid w:val="006F7BBE"/>
    <w:rsid w:val="00713054"/>
    <w:rsid w:val="007134F6"/>
    <w:rsid w:val="0071625D"/>
    <w:rsid w:val="0072304C"/>
    <w:rsid w:val="00734A69"/>
    <w:rsid w:val="00744032"/>
    <w:rsid w:val="00745483"/>
    <w:rsid w:val="0075172B"/>
    <w:rsid w:val="00757567"/>
    <w:rsid w:val="007A4C61"/>
    <w:rsid w:val="007A5A6B"/>
    <w:rsid w:val="007B29B3"/>
    <w:rsid w:val="007B2B37"/>
    <w:rsid w:val="007B414B"/>
    <w:rsid w:val="007B51CE"/>
    <w:rsid w:val="007B7762"/>
    <w:rsid w:val="007C6D91"/>
    <w:rsid w:val="007D285F"/>
    <w:rsid w:val="007D2E80"/>
    <w:rsid w:val="007D59A3"/>
    <w:rsid w:val="007E47F4"/>
    <w:rsid w:val="007E7574"/>
    <w:rsid w:val="007F3C12"/>
    <w:rsid w:val="007F44CB"/>
    <w:rsid w:val="00831C75"/>
    <w:rsid w:val="0084077A"/>
    <w:rsid w:val="0084184D"/>
    <w:rsid w:val="00841B66"/>
    <w:rsid w:val="00845226"/>
    <w:rsid w:val="00854AB1"/>
    <w:rsid w:val="00855F13"/>
    <w:rsid w:val="008656D6"/>
    <w:rsid w:val="0087110E"/>
    <w:rsid w:val="008737B6"/>
    <w:rsid w:val="0088137D"/>
    <w:rsid w:val="00891D6B"/>
    <w:rsid w:val="00893C65"/>
    <w:rsid w:val="0089665A"/>
    <w:rsid w:val="008A0A23"/>
    <w:rsid w:val="008A5C68"/>
    <w:rsid w:val="008B0469"/>
    <w:rsid w:val="008B7E4B"/>
    <w:rsid w:val="008C49C4"/>
    <w:rsid w:val="008D0375"/>
    <w:rsid w:val="008D20EE"/>
    <w:rsid w:val="008D61B5"/>
    <w:rsid w:val="008E184B"/>
    <w:rsid w:val="008E24FF"/>
    <w:rsid w:val="008E4DC1"/>
    <w:rsid w:val="008E54E9"/>
    <w:rsid w:val="008F0DCE"/>
    <w:rsid w:val="008F2B68"/>
    <w:rsid w:val="008F3AC2"/>
    <w:rsid w:val="008F4D77"/>
    <w:rsid w:val="008F67DE"/>
    <w:rsid w:val="00901AB5"/>
    <w:rsid w:val="00905C0D"/>
    <w:rsid w:val="00906ABD"/>
    <w:rsid w:val="0091132A"/>
    <w:rsid w:val="00915CAC"/>
    <w:rsid w:val="00916058"/>
    <w:rsid w:val="00917871"/>
    <w:rsid w:val="00917EC6"/>
    <w:rsid w:val="00925F9B"/>
    <w:rsid w:val="00926CFC"/>
    <w:rsid w:val="00932D55"/>
    <w:rsid w:val="00943795"/>
    <w:rsid w:val="009439AA"/>
    <w:rsid w:val="0094465D"/>
    <w:rsid w:val="009475E5"/>
    <w:rsid w:val="00953CBC"/>
    <w:rsid w:val="009622D1"/>
    <w:rsid w:val="00981B80"/>
    <w:rsid w:val="00981E78"/>
    <w:rsid w:val="00982D14"/>
    <w:rsid w:val="009830C8"/>
    <w:rsid w:val="009A06CA"/>
    <w:rsid w:val="009A1BD8"/>
    <w:rsid w:val="009B48CD"/>
    <w:rsid w:val="009C0AC6"/>
    <w:rsid w:val="009C158C"/>
    <w:rsid w:val="009C5957"/>
    <w:rsid w:val="009D2E36"/>
    <w:rsid w:val="009D3E21"/>
    <w:rsid w:val="009E74AA"/>
    <w:rsid w:val="009E7B91"/>
    <w:rsid w:val="009F1AFD"/>
    <w:rsid w:val="009F629C"/>
    <w:rsid w:val="00A00942"/>
    <w:rsid w:val="00A138C3"/>
    <w:rsid w:val="00A23806"/>
    <w:rsid w:val="00A259FC"/>
    <w:rsid w:val="00A26C66"/>
    <w:rsid w:val="00A31D98"/>
    <w:rsid w:val="00A335EB"/>
    <w:rsid w:val="00A37548"/>
    <w:rsid w:val="00A401CF"/>
    <w:rsid w:val="00A50102"/>
    <w:rsid w:val="00A546EC"/>
    <w:rsid w:val="00A5520C"/>
    <w:rsid w:val="00A72440"/>
    <w:rsid w:val="00A72FFF"/>
    <w:rsid w:val="00A77891"/>
    <w:rsid w:val="00A802EA"/>
    <w:rsid w:val="00A81803"/>
    <w:rsid w:val="00A82245"/>
    <w:rsid w:val="00A909C9"/>
    <w:rsid w:val="00A90B03"/>
    <w:rsid w:val="00A925C7"/>
    <w:rsid w:val="00A93B57"/>
    <w:rsid w:val="00A97927"/>
    <w:rsid w:val="00AB3CFB"/>
    <w:rsid w:val="00AB599A"/>
    <w:rsid w:val="00AB59BC"/>
    <w:rsid w:val="00AB72C1"/>
    <w:rsid w:val="00AC4903"/>
    <w:rsid w:val="00AD0303"/>
    <w:rsid w:val="00AD150A"/>
    <w:rsid w:val="00AE3B65"/>
    <w:rsid w:val="00AE7EFD"/>
    <w:rsid w:val="00AF0706"/>
    <w:rsid w:val="00AF5A57"/>
    <w:rsid w:val="00B05DB2"/>
    <w:rsid w:val="00B106A7"/>
    <w:rsid w:val="00B14B07"/>
    <w:rsid w:val="00B151CA"/>
    <w:rsid w:val="00B15A70"/>
    <w:rsid w:val="00B26A0F"/>
    <w:rsid w:val="00B3441E"/>
    <w:rsid w:val="00B36775"/>
    <w:rsid w:val="00B521B9"/>
    <w:rsid w:val="00B54241"/>
    <w:rsid w:val="00B5553F"/>
    <w:rsid w:val="00B5751E"/>
    <w:rsid w:val="00B675E1"/>
    <w:rsid w:val="00B716F9"/>
    <w:rsid w:val="00B7230F"/>
    <w:rsid w:val="00B74AA2"/>
    <w:rsid w:val="00B81F92"/>
    <w:rsid w:val="00B823F2"/>
    <w:rsid w:val="00BA4C4B"/>
    <w:rsid w:val="00BA5FF6"/>
    <w:rsid w:val="00BB599E"/>
    <w:rsid w:val="00BC3AA8"/>
    <w:rsid w:val="00BC4E2E"/>
    <w:rsid w:val="00BE35A8"/>
    <w:rsid w:val="00BE5AF9"/>
    <w:rsid w:val="00C108E4"/>
    <w:rsid w:val="00C10BB4"/>
    <w:rsid w:val="00C330DA"/>
    <w:rsid w:val="00C41762"/>
    <w:rsid w:val="00C44DE3"/>
    <w:rsid w:val="00C47517"/>
    <w:rsid w:val="00C60286"/>
    <w:rsid w:val="00C70237"/>
    <w:rsid w:val="00C70FB6"/>
    <w:rsid w:val="00C76BA9"/>
    <w:rsid w:val="00C817BB"/>
    <w:rsid w:val="00C95032"/>
    <w:rsid w:val="00C95AAC"/>
    <w:rsid w:val="00CA0543"/>
    <w:rsid w:val="00CA4C9E"/>
    <w:rsid w:val="00CB611E"/>
    <w:rsid w:val="00CC0726"/>
    <w:rsid w:val="00CC205D"/>
    <w:rsid w:val="00CD2758"/>
    <w:rsid w:val="00CD37B0"/>
    <w:rsid w:val="00CE03C0"/>
    <w:rsid w:val="00CE0652"/>
    <w:rsid w:val="00CE0C6C"/>
    <w:rsid w:val="00CE2ED7"/>
    <w:rsid w:val="00CF0ED8"/>
    <w:rsid w:val="00CF2C1C"/>
    <w:rsid w:val="00CF6886"/>
    <w:rsid w:val="00D04F27"/>
    <w:rsid w:val="00D06514"/>
    <w:rsid w:val="00D07FFC"/>
    <w:rsid w:val="00D128E2"/>
    <w:rsid w:val="00D22BBD"/>
    <w:rsid w:val="00D315CD"/>
    <w:rsid w:val="00D34390"/>
    <w:rsid w:val="00D43570"/>
    <w:rsid w:val="00D4389A"/>
    <w:rsid w:val="00D64236"/>
    <w:rsid w:val="00D70475"/>
    <w:rsid w:val="00D73195"/>
    <w:rsid w:val="00D756C4"/>
    <w:rsid w:val="00D76D27"/>
    <w:rsid w:val="00D85421"/>
    <w:rsid w:val="00D8706B"/>
    <w:rsid w:val="00D9238B"/>
    <w:rsid w:val="00DA1407"/>
    <w:rsid w:val="00DB647F"/>
    <w:rsid w:val="00DB6D39"/>
    <w:rsid w:val="00DC0928"/>
    <w:rsid w:val="00DC65FA"/>
    <w:rsid w:val="00DC7E33"/>
    <w:rsid w:val="00DD3292"/>
    <w:rsid w:val="00DE12B4"/>
    <w:rsid w:val="00DE43D9"/>
    <w:rsid w:val="00DE5E3E"/>
    <w:rsid w:val="00DE65DE"/>
    <w:rsid w:val="00DF0B54"/>
    <w:rsid w:val="00DF6E81"/>
    <w:rsid w:val="00E0074F"/>
    <w:rsid w:val="00E01496"/>
    <w:rsid w:val="00E037EE"/>
    <w:rsid w:val="00E17373"/>
    <w:rsid w:val="00E204E1"/>
    <w:rsid w:val="00E24EA4"/>
    <w:rsid w:val="00E279ED"/>
    <w:rsid w:val="00E30A7B"/>
    <w:rsid w:val="00E31AB4"/>
    <w:rsid w:val="00E3303E"/>
    <w:rsid w:val="00E3447C"/>
    <w:rsid w:val="00E34BAF"/>
    <w:rsid w:val="00E44CAE"/>
    <w:rsid w:val="00E4624A"/>
    <w:rsid w:val="00E541F9"/>
    <w:rsid w:val="00E55289"/>
    <w:rsid w:val="00E6064B"/>
    <w:rsid w:val="00E62EC0"/>
    <w:rsid w:val="00E65C6E"/>
    <w:rsid w:val="00E712C7"/>
    <w:rsid w:val="00E7188D"/>
    <w:rsid w:val="00E72FFD"/>
    <w:rsid w:val="00E81CE0"/>
    <w:rsid w:val="00E8616A"/>
    <w:rsid w:val="00E947B0"/>
    <w:rsid w:val="00EA3816"/>
    <w:rsid w:val="00EA712C"/>
    <w:rsid w:val="00EB06AE"/>
    <w:rsid w:val="00EB3604"/>
    <w:rsid w:val="00EC59B6"/>
    <w:rsid w:val="00ED5A14"/>
    <w:rsid w:val="00ED6310"/>
    <w:rsid w:val="00ED7F06"/>
    <w:rsid w:val="00EF0399"/>
    <w:rsid w:val="00EF183F"/>
    <w:rsid w:val="00F00867"/>
    <w:rsid w:val="00F0375A"/>
    <w:rsid w:val="00F04F48"/>
    <w:rsid w:val="00F10202"/>
    <w:rsid w:val="00F10277"/>
    <w:rsid w:val="00F102D5"/>
    <w:rsid w:val="00F104A3"/>
    <w:rsid w:val="00F1263C"/>
    <w:rsid w:val="00F1269C"/>
    <w:rsid w:val="00F14337"/>
    <w:rsid w:val="00F1562B"/>
    <w:rsid w:val="00F15DE8"/>
    <w:rsid w:val="00F24F34"/>
    <w:rsid w:val="00F346BF"/>
    <w:rsid w:val="00F4327F"/>
    <w:rsid w:val="00F43AE7"/>
    <w:rsid w:val="00F50E6E"/>
    <w:rsid w:val="00F51F7C"/>
    <w:rsid w:val="00F55E64"/>
    <w:rsid w:val="00F645FB"/>
    <w:rsid w:val="00F67EFF"/>
    <w:rsid w:val="00F75706"/>
    <w:rsid w:val="00F819E2"/>
    <w:rsid w:val="00F82756"/>
    <w:rsid w:val="00F94AB9"/>
    <w:rsid w:val="00F955D8"/>
    <w:rsid w:val="00FB200A"/>
    <w:rsid w:val="00FB34E8"/>
    <w:rsid w:val="00FB4C80"/>
    <w:rsid w:val="00FB5727"/>
    <w:rsid w:val="00FB653E"/>
    <w:rsid w:val="00FC5358"/>
    <w:rsid w:val="00FC56F4"/>
    <w:rsid w:val="00FC6B22"/>
    <w:rsid w:val="00FD7516"/>
    <w:rsid w:val="00FE2BAB"/>
    <w:rsid w:val="00FF481F"/>
    <w:rsid w:val="00FF4831"/>
    <w:rsid w:val="00FF7564"/>
    <w:rsid w:val="15751270"/>
    <w:rsid w:val="1979176C"/>
    <w:rsid w:val="20DE0F30"/>
    <w:rsid w:val="289B6281"/>
    <w:rsid w:val="2CDA4C1A"/>
    <w:rsid w:val="3114169A"/>
    <w:rsid w:val="44DE06A9"/>
    <w:rsid w:val="59CC7225"/>
    <w:rsid w:val="61E54D21"/>
    <w:rsid w:val="6FEA70C7"/>
    <w:rsid w:val="73E96C73"/>
    <w:rsid w:val="745D4D72"/>
    <w:rsid w:val="75043C6F"/>
    <w:rsid w:val="7E8A1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8"/>
    <w:basedOn w:val="1"/>
    <w:next w:val="1"/>
    <w:link w:val="23"/>
    <w:semiHidden/>
    <w:unhideWhenUsed/>
    <w:qFormat/>
    <w:uiPriority w:val="9"/>
    <w:pPr>
      <w:keepNext/>
      <w:keepLines/>
      <w:spacing w:before="240" w:after="64" w:line="320" w:lineRule="auto"/>
      <w:outlineLvl w:val="7"/>
    </w:pPr>
    <w:rPr>
      <w:rFonts w:asciiTheme="majorHAnsi" w:hAnsiTheme="majorHAnsi" w:eastAsiaTheme="majorEastAsia" w:cstheme="majorBidi"/>
      <w:sz w:val="24"/>
    </w:rPr>
  </w:style>
  <w:style w:type="paragraph" w:styleId="5">
    <w:name w:val="heading 9"/>
    <w:basedOn w:val="1"/>
    <w:next w:val="1"/>
    <w:link w:val="22"/>
    <w:semiHidden/>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3"/>
    <w:qFormat/>
    <w:uiPriority w:val="0"/>
    <w:pPr>
      <w:widowControl w:val="0"/>
      <w:spacing w:after="120"/>
      <w:ind w:left="420" w:leftChars="200" w:firstLine="420" w:firstLineChars="200"/>
      <w:jc w:val="both"/>
    </w:pPr>
    <w:rPr>
      <w:rFonts w:ascii="Calibri" w:hAnsi="Calibri" w:eastAsia="仿宋_GB2312" w:cs="Times New Roman"/>
      <w:kern w:val="2"/>
      <w:sz w:val="32"/>
      <w:szCs w:val="24"/>
      <w:lang w:val="en-US" w:eastAsia="zh-CN" w:bidi="ar-SA"/>
    </w:rPr>
  </w:style>
  <w:style w:type="paragraph" w:styleId="3">
    <w:name w:val="Body Text Indent"/>
    <w:basedOn w:val="1"/>
    <w:next w:val="1"/>
    <w:qFormat/>
    <w:uiPriority w:val="0"/>
    <w:pPr>
      <w:ind w:firstLine="627" w:firstLineChars="196"/>
    </w:pPr>
    <w:rPr>
      <w:rFonts w:ascii="Times New Roman" w:hAnsi="Times New Roman"/>
      <w:sz w:val="32"/>
      <w:szCs w:val="24"/>
    </w:rPr>
  </w:style>
  <w:style w:type="paragraph" w:styleId="6">
    <w:name w:val="toc 8"/>
    <w:basedOn w:val="1"/>
    <w:next w:val="1"/>
    <w:unhideWhenUsed/>
    <w:qFormat/>
    <w:uiPriority w:val="39"/>
    <w:pPr>
      <w:tabs>
        <w:tab w:val="right" w:leader="dot" w:pos="8296"/>
      </w:tabs>
      <w:spacing w:line="460" w:lineRule="exact"/>
      <w:ind w:left="210" w:leftChars="100"/>
    </w:p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99"/>
    <w:pPr>
      <w:spacing w:before="120" w:after="120"/>
      <w:jc w:val="left"/>
    </w:pPr>
    <w:rPr>
      <w:rFonts w:ascii="Calibri" w:hAnsi="Calibri" w:cs="Calibri"/>
      <w:b/>
      <w:bCs/>
      <w:caps/>
      <w:color w:val="000000"/>
      <w:kern w:val="0"/>
      <w:sz w:val="20"/>
      <w:szCs w:val="20"/>
    </w:rPr>
  </w:style>
  <w:style w:type="paragraph" w:styleId="10">
    <w:name w:val="toc 9"/>
    <w:basedOn w:val="1"/>
    <w:next w:val="1"/>
    <w:unhideWhenUsed/>
    <w:qFormat/>
    <w:uiPriority w:val="39"/>
    <w:pPr>
      <w:ind w:left="3360" w:leftChars="1600"/>
    </w:pPr>
  </w:style>
  <w:style w:type="paragraph" w:styleId="11">
    <w:name w:val="Normal (Web)"/>
    <w:basedOn w:val="1"/>
    <w:qFormat/>
    <w:uiPriority w:val="99"/>
    <w:pPr>
      <w:spacing w:before="100" w:beforeAutospacing="1" w:after="100" w:afterAutospacing="1"/>
      <w:jc w:val="left"/>
    </w:pPr>
    <w:rPr>
      <w:rFonts w:ascii="Calibri" w:hAnsi="Calibri"/>
      <w:color w:val="000000"/>
      <w:kern w:val="0"/>
      <w:sz w:val="24"/>
    </w:rPr>
  </w:style>
  <w:style w:type="character" w:styleId="14">
    <w:name w:val="Strong"/>
    <w:basedOn w:val="13"/>
    <w:qFormat/>
    <w:uiPriority w:val="99"/>
    <w:rPr>
      <w:b/>
      <w:bCs/>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character" w:customStyle="1" w:styleId="16">
    <w:name w:val="页眉 Char"/>
    <w:basedOn w:val="13"/>
    <w:link w:val="8"/>
    <w:qFormat/>
    <w:uiPriority w:val="99"/>
    <w:rPr>
      <w:sz w:val="18"/>
      <w:szCs w:val="18"/>
    </w:rPr>
  </w:style>
  <w:style w:type="character" w:customStyle="1" w:styleId="17">
    <w:name w:val="页脚 Char"/>
    <w:basedOn w:val="13"/>
    <w:link w:val="7"/>
    <w:qFormat/>
    <w:uiPriority w:val="99"/>
    <w:rPr>
      <w:sz w:val="18"/>
      <w:szCs w:val="18"/>
    </w:rPr>
  </w:style>
  <w:style w:type="paragraph" w:styleId="18">
    <w:name w:val="List Paragraph"/>
    <w:basedOn w:val="1"/>
    <w:qFormat/>
    <w:uiPriority w:val="34"/>
    <w:pPr>
      <w:ind w:firstLine="420" w:firstLineChars="200"/>
    </w:pPr>
  </w:style>
  <w:style w:type="paragraph" w:customStyle="1" w:styleId="19">
    <w:name w:val="正文A"/>
    <w:basedOn w:val="1"/>
    <w:qFormat/>
    <w:uiPriority w:val="99"/>
    <w:pPr>
      <w:widowControl/>
      <w:spacing w:line="580" w:lineRule="exact"/>
      <w:ind w:firstLine="640"/>
      <w:jc w:val="left"/>
    </w:pPr>
    <w:rPr>
      <w:rFonts w:ascii="仿宋_GB2312" w:hAnsi="仿宋_GB2312" w:eastAsia="仿宋_GB2312" w:cs="宋体"/>
      <w:color w:val="000000"/>
      <w:kern w:val="0"/>
      <w:sz w:val="32"/>
      <w:szCs w:val="32"/>
    </w:rPr>
  </w:style>
  <w:style w:type="paragraph" w:customStyle="1" w:styleId="20">
    <w:name w:val="闻政-正文段落文字"/>
    <w:basedOn w:val="1"/>
    <w:qFormat/>
    <w:uiPriority w:val="99"/>
    <w:pPr>
      <w:spacing w:line="500" w:lineRule="exact"/>
      <w:ind w:firstLine="200"/>
    </w:pPr>
    <w:rPr>
      <w:color w:val="000000"/>
      <w:kern w:val="0"/>
      <w:szCs w:val="28"/>
    </w:rPr>
  </w:style>
  <w:style w:type="paragraph" w:customStyle="1" w:styleId="21">
    <w:name w:val="Char"/>
    <w:basedOn w:val="1"/>
    <w:semiHidden/>
    <w:qFormat/>
    <w:uiPriority w:val="0"/>
    <w:pPr>
      <w:snapToGrid w:val="0"/>
      <w:spacing w:line="520" w:lineRule="exact"/>
    </w:pPr>
    <w:rPr>
      <w:rFonts w:ascii="黑体" w:hAnsi="Arial" w:eastAsia="黑体"/>
      <w:sz w:val="30"/>
      <w:szCs w:val="30"/>
    </w:rPr>
  </w:style>
  <w:style w:type="character" w:customStyle="1" w:styleId="22">
    <w:name w:val="标题 9 Char"/>
    <w:basedOn w:val="13"/>
    <w:link w:val="5"/>
    <w:semiHidden/>
    <w:qFormat/>
    <w:uiPriority w:val="9"/>
    <w:rPr>
      <w:rFonts w:asciiTheme="majorHAnsi" w:hAnsiTheme="majorHAnsi" w:eastAsiaTheme="majorEastAsia" w:cstheme="majorBidi"/>
      <w:szCs w:val="21"/>
    </w:rPr>
  </w:style>
  <w:style w:type="character" w:customStyle="1" w:styleId="23">
    <w:name w:val="标题 8 Char"/>
    <w:basedOn w:val="13"/>
    <w:link w:val="4"/>
    <w:semiHidden/>
    <w:qFormat/>
    <w:uiPriority w:val="9"/>
    <w:rPr>
      <w:rFonts w:asciiTheme="majorHAnsi" w:hAnsiTheme="majorHAnsi" w:eastAsiaTheme="majorEastAsia" w:cstheme="majorBidi"/>
      <w:sz w:val="24"/>
      <w:szCs w:val="24"/>
    </w:rPr>
  </w:style>
  <w:style w:type="paragraph" w:customStyle="1" w:styleId="24">
    <w:name w:val="无间隔1"/>
    <w:qFormat/>
    <w:uiPriority w:val="1"/>
    <w:pPr>
      <w:widowControl w:val="0"/>
      <w:spacing w:line="660" w:lineRule="exact"/>
      <w:ind w:firstLine="560" w:firstLineChars="200"/>
    </w:pPr>
    <w:rPr>
      <w:rFonts w:ascii="仿宋_GB2312" w:hAnsi="Calibri" w:eastAsia="仿宋_GB2312" w:cs="Times New Roman"/>
      <w:kern w:val="10"/>
      <w:sz w:val="28"/>
      <w:szCs w:val="28"/>
      <w:lang w:val="en-US" w:eastAsia="zh-CN"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2F0279-7348-4E95-868A-4EE3B0D49781}">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1327</Words>
  <Characters>7565</Characters>
  <Lines>63</Lines>
  <Paragraphs>17</Paragraphs>
  <TotalTime>14</TotalTime>
  <ScaleCrop>false</ScaleCrop>
  <LinksUpToDate>false</LinksUpToDate>
  <CharactersWithSpaces>8875</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2022-04-07T08:56:00Z</dcterms:created>
  <dc:creator>hongbing liu</dc:creator>
  <cp:lastModifiedBy>Administrator</cp:lastModifiedBy>
  <cp:lastPrinted>2022-04-08T10:40:00Z</cp:lastPrinted>
  <dcterms:modified xsi:type="dcterms:W3CDTF">2024-08-26T11:36:26Z</dcterms:modified>
  <cp:revision>352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C4066E8EB11A48E4B564E0ADF5C1A066_13</vt:lpwstr>
  </property>
</Properties>
</file>